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308D20C">
      <w:pPr>
        <w:jc w:val="center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4EA71A40">
      <w:pPr>
        <w:jc w:val="center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5CC68998">
      <w:pPr>
        <w:jc w:val="center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04A0D57D">
      <w:pPr>
        <w:jc w:val="center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4C2B0A55">
      <w:pPr>
        <w:jc w:val="center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6C163289">
      <w:pPr>
        <w:jc w:val="center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51B4E2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方正小标宋简体" w:cs="Times New Roman"/>
          <w:b w:val="0"/>
          <w:bCs w:val="0"/>
          <w:sz w:val="52"/>
          <w:szCs w:val="72"/>
          <w:lang w:val="en-US" w:eastAsia="zh-CN"/>
        </w:rPr>
      </w:pPr>
      <w:r>
        <w:rPr>
          <w:rFonts w:hint="default" w:ascii="Times New Roman" w:hAnsi="Times New Roman" w:eastAsia="方正小标宋简体" w:cs="Times New Roman"/>
          <w:b w:val="0"/>
          <w:bCs w:val="0"/>
          <w:sz w:val="52"/>
          <w:szCs w:val="52"/>
          <w:lang w:val="en-US" w:eastAsia="zh-CN"/>
        </w:rPr>
        <w:t>8.0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52"/>
          <w:szCs w:val="52"/>
          <w:lang w:val="en-US" w:eastAsia="zh-CN"/>
        </w:rPr>
        <w:t>新系统</w:t>
      </w:r>
      <w:r>
        <w:rPr>
          <w:rFonts w:hint="default" w:ascii="Times New Roman" w:hAnsi="Times New Roman" w:eastAsia="方正小标宋简体" w:cs="Times New Roman"/>
          <w:b w:val="0"/>
          <w:bCs w:val="0"/>
          <w:sz w:val="52"/>
          <w:szCs w:val="72"/>
          <w:lang w:val="en-US" w:eastAsia="zh-CN"/>
        </w:rPr>
        <w:t>土地交易</w:t>
      </w:r>
    </w:p>
    <w:p w14:paraId="339A7D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cs="Times New Roman"/>
          <w:sz w:val="52"/>
          <w:szCs w:val="72"/>
          <w:lang w:val="en-US" w:eastAsia="zh-CN"/>
        </w:rPr>
      </w:pPr>
      <w:r>
        <w:rPr>
          <w:rFonts w:hint="default" w:ascii="Times New Roman" w:hAnsi="Times New Roman" w:eastAsia="方正小标宋简体" w:cs="Times New Roman"/>
          <w:b w:val="0"/>
          <w:bCs w:val="0"/>
          <w:sz w:val="52"/>
          <w:szCs w:val="72"/>
          <w:lang w:val="en-US" w:eastAsia="zh-CN"/>
        </w:rPr>
        <w:t>乙方操作手册</w:t>
      </w:r>
    </w:p>
    <w:p w14:paraId="7FC56604">
      <w:pPr>
        <w:rPr>
          <w:rFonts w:hint="default" w:ascii="Times New Roman" w:hAnsi="Times New Roman" w:cs="Times New Roman"/>
        </w:rPr>
      </w:pPr>
    </w:p>
    <w:p w14:paraId="2669DCA7">
      <w:pPr>
        <w:rPr>
          <w:rFonts w:hint="default" w:ascii="Times New Roman" w:hAnsi="Times New Roman" w:cs="Times New Roman"/>
        </w:rPr>
      </w:pPr>
    </w:p>
    <w:p w14:paraId="2A52CBA3">
      <w:pPr>
        <w:rPr>
          <w:rFonts w:hint="default" w:ascii="Times New Roman" w:hAnsi="Times New Roman" w:cs="Times New Roman"/>
        </w:rPr>
      </w:pPr>
    </w:p>
    <w:p w14:paraId="2FFE3692">
      <w:pPr>
        <w:rPr>
          <w:rFonts w:hint="default" w:ascii="Times New Roman" w:hAnsi="Times New Roman" w:cs="Times New Roman"/>
        </w:rPr>
      </w:pPr>
    </w:p>
    <w:p w14:paraId="7162003C">
      <w:pPr>
        <w:rPr>
          <w:rFonts w:hint="default" w:ascii="Times New Roman" w:hAnsi="Times New Roman" w:cs="Times New Roman"/>
        </w:rPr>
      </w:pPr>
    </w:p>
    <w:p w14:paraId="66F53E15">
      <w:pPr>
        <w:rPr>
          <w:rFonts w:hint="default" w:ascii="Times New Roman" w:hAnsi="Times New Roman" w:cs="Times New Roman"/>
        </w:rPr>
      </w:pPr>
    </w:p>
    <w:p w14:paraId="50BCB473">
      <w:pPr>
        <w:rPr>
          <w:rFonts w:hint="default" w:ascii="Times New Roman" w:hAnsi="Times New Roman" w:cs="Times New Roman"/>
        </w:rPr>
      </w:pPr>
    </w:p>
    <w:p w14:paraId="29453387">
      <w:pPr>
        <w:pStyle w:val="3"/>
        <w:numPr>
          <w:ilvl w:val="0"/>
          <w:numId w:val="0"/>
        </w:numPr>
        <w:bidi w:val="0"/>
        <w:ind w:left="0" w:leftChars="0" w:firstLine="0" w:firstLineChars="0"/>
        <w:rPr>
          <w:rFonts w:hint="default" w:ascii="Times New Roman" w:hAnsi="Times New Roman" w:eastAsia="方正黑体_GBK" w:cs="Times New Roman"/>
          <w:b w:val="0"/>
          <w:bCs/>
          <w:i w:val="0"/>
          <w:iCs w:val="0"/>
          <w:caps w:val="0"/>
          <w:smallCaps w:val="0"/>
          <w:strike w:val="0"/>
          <w:dstrike w:val="0"/>
          <w:vanish w:val="0"/>
          <w:color w:val="auto"/>
          <w:spacing w:val="0"/>
          <w:kern w:val="2"/>
          <w:position w:val="0"/>
          <w:sz w:val="32"/>
          <w:szCs w:val="32"/>
          <w:u w:val="none"/>
          <w:vertAlign w:val="baseline"/>
          <w:lang w:val="en-US" w:eastAsia="zh-CN" w:bidi="ar-SA"/>
          <w14:ligatures w14:val="none"/>
          <w14:numForm w14:val="default"/>
          <w14:numSpacing w14:val="default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3A1FB9DD">
      <w:pPr>
        <w:pStyle w:val="2"/>
        <w:bidi w:val="0"/>
        <w:jc w:val="center"/>
        <w:rPr>
          <w:rFonts w:hint="default" w:ascii="Times New Roman" w:hAnsi="Times New Roman" w:eastAsia="方正黑体_GBK" w:cs="Times New Roman"/>
          <w:lang w:val="en-US" w:eastAsia="zh-CN"/>
        </w:rPr>
      </w:pPr>
      <w:r>
        <w:rPr>
          <w:rFonts w:hint="default" w:ascii="Times New Roman" w:hAnsi="Times New Roman" w:eastAsia="方正黑体_GBK" w:cs="Times New Roman"/>
          <w:lang w:val="en-US" w:eastAsia="zh-CN"/>
        </w:rPr>
        <w:t>一、登录达</w:t>
      </w:r>
      <w:r>
        <w:rPr>
          <w:rFonts w:hint="default" w:ascii="Times New Roman" w:hAnsi="Times New Roman" w:eastAsia="方正黑体_GBK" w:cs="Times New Roman"/>
          <w:b/>
          <w:lang w:val="en-US" w:eastAsia="zh-CN"/>
        </w:rPr>
        <w:t>州市公共资源交易</w:t>
      </w:r>
      <w:r>
        <w:rPr>
          <w:rFonts w:hint="default" w:ascii="Times New Roman" w:hAnsi="Times New Roman" w:eastAsia="方正黑体_GBK" w:cs="Times New Roman"/>
          <w:lang w:val="en-US" w:eastAsia="zh-CN"/>
        </w:rPr>
        <w:t>服务平台</w:t>
      </w:r>
    </w:p>
    <w:p w14:paraId="3611D798">
      <w:pPr>
        <w:jc w:val="both"/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 xml:space="preserve">1.1 </w:t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新用户注册</w:t>
      </w:r>
    </w:p>
    <w:p w14:paraId="0294B974">
      <w:p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1.1.1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登录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“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达州市公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共资源交易服务中心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”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官网主页，点击“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用户注册登录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”</w:t>
      </w:r>
    </w:p>
    <w:p w14:paraId="5A48BFE4">
      <w:p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drawing>
          <wp:inline distT="0" distB="0" distL="114300" distR="114300">
            <wp:extent cx="5267325" cy="2787650"/>
            <wp:effectExtent l="0" t="0" r="9525" b="1270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0BFC0"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1.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1.2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确认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用户协议后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点击“同意”</w:t>
      </w:r>
    </w:p>
    <w:p w14:paraId="7DA72E6B"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4300855"/>
            <wp:effectExtent l="0" t="0" r="10160" b="444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F358F">
      <w:pPr>
        <w:jc w:val="left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1.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1.3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进入注册页面，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填写对应相关信息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后点“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立即注册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”</w:t>
      </w:r>
    </w:p>
    <w:p w14:paraId="3A06D010">
      <w:p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4775200" cy="4616450"/>
            <wp:effectExtent l="0" t="0" r="6350" b="1270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7"/>
                    <a:srcRect b="5462"/>
                    <a:stretch>
                      <a:fillRect/>
                    </a:stretch>
                  </pic:blipFill>
                  <pic:spPr>
                    <a:xfrm>
                      <a:off x="0" y="0"/>
                      <a:ext cx="4775200" cy="461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178BB">
      <w:pPr>
        <w:jc w:val="both"/>
        <w:rPr>
          <w:rFonts w:hint="default" w:ascii="Times New Roman" w:hAnsi="Times New Roman" w:eastAsia="方正仿宋_GBK" w:cs="Times New Roman"/>
          <w:color w:val="FF000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1.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1.4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在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交易乙方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信息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管理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—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&gt;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基本信息中点击“修改信息”，完善相关信息并在扫描件管理中上传扫描件后点击下一步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验证通过后重新登录</w:t>
      </w:r>
    </w:p>
    <w:p w14:paraId="636F1BC9">
      <w:pPr>
        <w:jc w:val="both"/>
      </w:pPr>
      <w:r>
        <w:drawing>
          <wp:inline distT="0" distB="0" distL="114300" distR="114300">
            <wp:extent cx="5266690" cy="2853055"/>
            <wp:effectExtent l="0" t="0" r="1016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24BEA">
      <w:p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drawing>
          <wp:inline distT="0" distB="0" distL="114300" distR="114300">
            <wp:extent cx="5266690" cy="2853055"/>
            <wp:effectExtent l="0" t="0" r="10160" b="444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FCD36">
      <w:p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</w:p>
    <w:p w14:paraId="7A614E8C">
      <w:pPr>
        <w:jc w:val="both"/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1.2 已注册用户登录（包含老系统账号）</w:t>
      </w:r>
    </w:p>
    <w:p w14:paraId="758EFA32">
      <w:pPr>
        <w:jc w:val="both"/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通过输入账号密码或使用CA锁登录系统，并选择对应身份进入系统</w:t>
      </w:r>
    </w:p>
    <w:p w14:paraId="6F30B358">
      <w:pPr>
        <w:jc w:val="both"/>
      </w:pPr>
      <w:r>
        <w:drawing>
          <wp:inline distT="0" distB="0" distL="114300" distR="114300">
            <wp:extent cx="5267325" cy="2571750"/>
            <wp:effectExtent l="0" t="0" r="9525" b="0"/>
            <wp:docPr id="3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116DF">
      <w:pPr>
        <w:jc w:val="both"/>
      </w:pPr>
    </w:p>
    <w:p w14:paraId="2D08558A">
      <w:pPr>
        <w:jc w:val="both"/>
      </w:pPr>
      <w:r>
        <w:drawing>
          <wp:inline distT="0" distB="0" distL="114300" distR="114300">
            <wp:extent cx="5267325" cy="2577465"/>
            <wp:effectExtent l="0" t="0" r="9525" b="13335"/>
            <wp:docPr id="3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1B1BD">
      <w:pPr>
        <w:jc w:val="both"/>
      </w:pPr>
    </w:p>
    <w:p w14:paraId="5F1E24E3">
      <w:pPr>
        <w:jc w:val="both"/>
      </w:pPr>
      <w:r>
        <w:drawing>
          <wp:inline distT="0" distB="0" distL="114300" distR="114300">
            <wp:extent cx="5267325" cy="2577465"/>
            <wp:effectExtent l="0" t="0" r="9525" b="13335"/>
            <wp:docPr id="3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53A83">
      <w:pPr>
        <w:ind w:firstLine="640" w:firstLineChars="200"/>
        <w:jc w:val="both"/>
        <w:rPr>
          <w:rFonts w:hint="default" w:ascii="Times New Roman" w:hAnsi="Times New Roman" w:eastAsia="方正仿宋_GBK" w:cs="Times New Roman"/>
          <w:color w:val="FF000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在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交易乙方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信息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管理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—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&gt;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基本信息中点击“修改信息”，完善相关信息并在扫描件管理中上传扫描件后点击下一步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验证通过后重新登录</w:t>
      </w:r>
    </w:p>
    <w:p w14:paraId="508A8E37">
      <w:p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drawing>
          <wp:inline distT="0" distB="0" distL="114300" distR="114300">
            <wp:extent cx="5266690" cy="2853055"/>
            <wp:effectExtent l="0" t="0" r="10160" b="444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B7D20">
      <w:pPr>
        <w:jc w:val="both"/>
      </w:pPr>
      <w:bookmarkStart w:id="0" w:name="_GoBack"/>
      <w:bookmarkEnd w:id="0"/>
    </w:p>
    <w:p w14:paraId="43CA46A1">
      <w:pPr>
        <w:jc w:val="both"/>
        <w:rPr>
          <w:rFonts w:hint="default"/>
          <w:lang w:val="en-US" w:eastAsia="zh-CN"/>
        </w:rPr>
      </w:pPr>
    </w:p>
    <w:p w14:paraId="44169C75">
      <w:pPr>
        <w:jc w:val="both"/>
        <w:rPr>
          <w:rFonts w:hint="default" w:ascii="Times New Roman" w:hAnsi="Times New Roman" w:eastAsia="方正仿宋_GBK" w:cs="Times New Roman"/>
          <w:b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b/>
          <w:bCs w:val="0"/>
          <w:sz w:val="32"/>
          <w:szCs w:val="32"/>
          <w:lang w:val="en-US" w:eastAsia="zh-CN"/>
        </w:rPr>
        <w:t>1.3</w:t>
      </w:r>
      <w:r>
        <w:rPr>
          <w:rFonts w:hint="default" w:ascii="Times New Roman" w:hAnsi="Times New Roman" w:eastAsia="方正仿宋_GBK" w:cs="Times New Roman"/>
          <w:b/>
          <w:bCs w:val="0"/>
          <w:sz w:val="32"/>
          <w:szCs w:val="32"/>
          <w:lang w:val="en-US" w:eastAsia="zh-CN"/>
        </w:rPr>
        <w:t xml:space="preserve"> 四川省CA互联互通驱动4.0安装</w:t>
      </w:r>
    </w:p>
    <w:p w14:paraId="7FF27062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1.3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.1 在登录界面点击“驱动下载”按钮</w:t>
      </w:r>
    </w:p>
    <w:p w14:paraId="4414197E">
      <w:p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382520"/>
            <wp:effectExtent l="0" t="0" r="10160" b="17780"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7C72D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1.3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.2 点击下载驱动</w:t>
      </w:r>
    </w:p>
    <w:p w14:paraId="68A0168A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drawing>
          <wp:inline distT="0" distB="0" distL="114300" distR="114300">
            <wp:extent cx="5274310" cy="1698625"/>
            <wp:effectExtent l="0" t="0" r="2540" b="15875"/>
            <wp:docPr id="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rcRect b="135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2C9E8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1.3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.3 打开驱动，点击快速安装</w:t>
      </w:r>
    </w:p>
    <w:p w14:paraId="7DEC9821">
      <w:pPr>
        <w:jc w:val="center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drawing>
          <wp:inline distT="0" distB="0" distL="114300" distR="114300">
            <wp:extent cx="560705" cy="514985"/>
            <wp:effectExtent l="0" t="0" r="10795" b="18415"/>
            <wp:docPr id="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0705" cy="51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CBA2D">
      <w:p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drawing>
          <wp:inline distT="0" distB="0" distL="114300" distR="114300">
            <wp:extent cx="5269865" cy="3946525"/>
            <wp:effectExtent l="0" t="0" r="6985" b="15875"/>
            <wp:docPr id="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4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6DFA3">
      <w:pPr>
        <w:numPr>
          <w:ilvl w:val="0"/>
          <w:numId w:val="0"/>
        </w:numPr>
        <w:rPr>
          <w:rFonts w:hint="default" w:ascii="Times New Roman" w:hAnsi="Times New Roman" w:eastAsia="方正仿宋_GBK" w:cs="Times New Roman"/>
          <w:sz w:val="32"/>
          <w:szCs w:val="32"/>
        </w:rPr>
      </w:pPr>
    </w:p>
    <w:p w14:paraId="5B86293A">
      <w:pPr>
        <w:pStyle w:val="2"/>
        <w:bidi w:val="0"/>
        <w:jc w:val="center"/>
        <w:rPr>
          <w:rFonts w:hint="default" w:ascii="Times New Roman" w:hAnsi="Times New Roman" w:eastAsia="方正黑体_GBK" w:cs="Times New Roman"/>
          <w:b/>
          <w:lang w:val="en-US" w:eastAsia="zh-CN"/>
        </w:rPr>
      </w:pPr>
      <w:r>
        <w:rPr>
          <w:rFonts w:hint="default" w:ascii="Times New Roman" w:hAnsi="Times New Roman" w:eastAsia="方正黑体_GBK" w:cs="Times New Roman"/>
          <w:b/>
          <w:lang w:val="en-US" w:eastAsia="zh-CN"/>
        </w:rPr>
        <w:t>二、项目报名</w:t>
      </w:r>
    </w:p>
    <w:p w14:paraId="34733179">
      <w:pPr>
        <w:bidi w:val="0"/>
        <w:rPr>
          <w:rFonts w:hint="default" w:ascii="Times New Roman" w:hAnsi="Times New Roman" w:eastAsia="方正仿宋_GBK" w:cs="Times New Roman"/>
          <w:b/>
          <w:bCs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2.1 报名及挂牌报价</w:t>
      </w:r>
    </w:p>
    <w:p w14:paraId="55168507"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2.1.1 点击左侧“招标公告”，点击“土地”菜单，筛选出所有正在报名的土地交易项目，可直接输入信息搜索项目</w:t>
      </w:r>
    </w:p>
    <w:p w14:paraId="4624116C"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658110"/>
            <wp:effectExtent l="0" t="0" r="1016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2707A"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鼠标指向项目标签，展开操作按钮</w:t>
      </w:r>
    </w:p>
    <w:p w14:paraId="5869E2B3"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658110"/>
            <wp:effectExtent l="0" t="0" r="1016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221FD"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2.1.2 项目报名，点击公告详情页面，进入详情页面，点击“我要报名”即可，或直接点击进入项目</w:t>
      </w:r>
    </w:p>
    <w:p w14:paraId="75FCCC05"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658110"/>
            <wp:effectExtent l="0" t="0" r="1016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AB7A9"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658110"/>
            <wp:effectExtent l="0" t="0" r="1016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E9C1A"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2.1.3 进入报名流程界面后，阅读完交易规则后，点击下方“同意”即可开始报名。点击“出让文件下载”按钮，可以下载出让文件</w:t>
      </w:r>
    </w:p>
    <w:p w14:paraId="4E0FEC71"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658110"/>
            <wp:effectExtent l="0" t="0" r="1016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FF341"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2.1.4 根据实际情况选择竞买方式、是否联合体、是否成立新公司，点击对应选项即可</w:t>
      </w:r>
    </w:p>
    <w:p w14:paraId="0BC85BEE"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658110"/>
            <wp:effectExtent l="0" t="0" r="1016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3D27E"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658110"/>
            <wp:effectExtent l="0" t="0" r="1016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BE4E2"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658110"/>
            <wp:effectExtent l="0" t="0" r="1016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4251B"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2.1.5 填写竞买申请书，此界面自动获取报名信息生成，需点击下方的“点击生成按钮”后再点击“申请”进入下一步</w:t>
      </w:r>
    </w:p>
    <w:p w14:paraId="595E1222"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658110"/>
            <wp:effectExtent l="0" t="0" r="1016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E375F">
      <w:pPr>
        <w:numPr>
          <w:ilvl w:val="0"/>
          <w:numId w:val="0"/>
        </w:num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 xml:space="preserve">2.1.6 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选择缴纳保证银行，选择对应的银行后，点击生成子账号，进入下一步</w:t>
      </w:r>
    </w:p>
    <w:p w14:paraId="50F1A682"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658110"/>
            <wp:effectExtent l="0" t="0" r="10160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65EBA"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2.1.7 获得保证金缴纳账号后，完成缴纳，点击“保证金查询”按钮，查询到账之后即可</w:t>
      </w:r>
    </w:p>
    <w:p w14:paraId="672E60D5"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658110"/>
            <wp:effectExtent l="0" t="0" r="1016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2F1B8"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658110"/>
            <wp:effectExtent l="0" t="0" r="1016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19790">
      <w:pPr>
        <w:widowControl w:val="0"/>
        <w:numPr>
          <w:ilvl w:val="0"/>
          <w:numId w:val="0"/>
        </w:numPr>
        <w:ind w:left="0" w:leftChars="0" w:firstLine="0" w:firstLineChars="0"/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 xml:space="preserve">2.1.8 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缴纳到账之后，关闭查询页面，点击“竞买资格申请”按钮，打开新增竞买资格申请页面，根据要求上传对应的附件信息。上传完成后，点击“提交”即可</w:t>
      </w:r>
    </w:p>
    <w:p w14:paraId="654802A6"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658110"/>
            <wp:effectExtent l="0" t="0" r="10160" b="889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3E964"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658110"/>
            <wp:effectExtent l="0" t="0" r="1016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3F14F"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2.1.9 资格审查通过之后，即可点击“挂牌报价”按钮，进行挂牌报价。在“04 挂牌报价信息”中输入报价金额，点击附件中的“点击生成”按钮，再关闭预览界面，最后点击提交信息即可</w:t>
      </w:r>
    </w:p>
    <w:p w14:paraId="04F90F66"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eastAsia="方正仿宋_GBK" w:cs="Times New Roman"/>
          <w:color w:val="FF000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FF0000"/>
          <w:sz w:val="32"/>
          <w:szCs w:val="32"/>
          <w:lang w:val="en-US" w:eastAsia="zh-CN"/>
        </w:rPr>
        <w:t>注：挂牌报价可多次提交</w:t>
      </w:r>
    </w:p>
    <w:p w14:paraId="3964A09D"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658110"/>
            <wp:effectExtent l="0" t="0" r="10160" b="889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3D08D"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658110"/>
            <wp:effectExtent l="0" t="0" r="10160" b="889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C64B8"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658110"/>
            <wp:effectExtent l="0" t="0" r="10160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AE373"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658110"/>
            <wp:effectExtent l="0" t="0" r="10160" b="889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numberInDash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BE5B99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127AF51">
                          <w:pPr>
                            <w:pStyle w:val="4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127AF51">
                    <w:pPr>
                      <w:pStyle w:val="4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2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A2F4AB3"/>
    <w:multiLevelType w:val="multilevel"/>
    <w:tmpl w:val="6A2F4AB3"/>
    <w:lvl w:ilvl="0" w:tentative="0">
      <w:start w:val="1"/>
      <w:numFmt w:val="chineseCountingThousand"/>
      <w:suff w:val="nothing"/>
      <w:lvlText w:val="%1、"/>
      <w:lvlJc w:val="left"/>
      <w:pPr>
        <w:ind w:left="0" w:firstLine="0"/>
      </w:pPr>
      <w:rPr>
        <w:rFonts w:hint="eastAsia"/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  <w14:ligatures w14:val="none"/>
        <w14:numForm w14:val="default"/>
        <w14:numSpacing w14:val="default"/>
      </w:rPr>
    </w:lvl>
    <w:lvl w:ilvl="1" w:tentative="0">
      <w:start w:val="1"/>
      <w:numFmt w:val="decimal"/>
      <w:isLgl/>
      <w:suff w:val="nothing"/>
      <w:lvlText w:val="%1.%2、"/>
      <w:lvlJc w:val="left"/>
      <w:pPr>
        <w:ind w:left="0" w:firstLine="0"/>
      </w:pPr>
      <w:rPr>
        <w:rFonts w:hint="eastAsia"/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  <w14:ligatures w14:val="none"/>
        <w14:numForm w14:val="default"/>
        <w14:numSpacing w14:val="default"/>
      </w:rPr>
    </w:lvl>
    <w:lvl w:ilvl="2" w:tentative="0">
      <w:start w:val="1"/>
      <w:numFmt w:val="decimal"/>
      <w:pStyle w:val="3"/>
      <w:isLgl/>
      <w:suff w:val="nothing"/>
      <w:lvlText w:val="%1.%2.%3、"/>
      <w:lvlJc w:val="left"/>
      <w:pPr>
        <w:ind w:left="0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</w:rPr>
    </w:lvl>
    <w:lvl w:ilvl="3" w:tentative="0">
      <w:start w:val="1"/>
      <w:numFmt w:val="decimal"/>
      <w:isLgl/>
      <w:suff w:val="nothing"/>
      <w:lvlText w:val="%1.%2.%3.%4、"/>
      <w:lvlJc w:val="left"/>
      <w:pPr>
        <w:ind w:left="0" w:firstLine="0"/>
      </w:pPr>
      <w:rPr>
        <w:rFonts w:hint="default" w:ascii="Times New Roman" w:hAnsi="Times New Roman" w:eastAsia="宋体" w:cs="Times New Roman"/>
        <w:sz w:val="24"/>
        <w:szCs w:val="24"/>
      </w:rPr>
    </w:lvl>
    <w:lvl w:ilvl="4" w:tentative="0">
      <w:start w:val="1"/>
      <w:numFmt w:val="decimal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ZlNTJjYmIwY2YzZjU0M2VlNWU1ZTM0MzVhMWM5NDYifQ=="/>
  </w:docVars>
  <w:rsids>
    <w:rsidRoot w:val="67365C26"/>
    <w:rsid w:val="0494075A"/>
    <w:rsid w:val="114C00D7"/>
    <w:rsid w:val="11BF511D"/>
    <w:rsid w:val="184D1792"/>
    <w:rsid w:val="213B1B19"/>
    <w:rsid w:val="220F79FB"/>
    <w:rsid w:val="2D101932"/>
    <w:rsid w:val="375F4AE5"/>
    <w:rsid w:val="451341CF"/>
    <w:rsid w:val="46482C3D"/>
    <w:rsid w:val="512C2489"/>
    <w:rsid w:val="534D53DE"/>
    <w:rsid w:val="61A905CB"/>
    <w:rsid w:val="63684B19"/>
    <w:rsid w:val="66747D26"/>
    <w:rsid w:val="67365C26"/>
    <w:rsid w:val="6F11145E"/>
    <w:rsid w:val="7CB22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3">
    <w:name w:val="heading 3"/>
    <w:basedOn w:val="1"/>
    <w:next w:val="1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694</Words>
  <Characters>770</Characters>
  <Lines>0</Lines>
  <Paragraphs>0</Paragraphs>
  <TotalTime>0</TotalTime>
  <ScaleCrop>false</ScaleCrop>
  <LinksUpToDate>false</LinksUpToDate>
  <CharactersWithSpaces>790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2024-07-10T03:17:00Z</dcterms:created>
  <dc:creator>NTKO</dc:creator>
  <cp:lastModifiedBy>dell</cp:lastModifiedBy>
  <dcterms:modified xsi:type="dcterms:W3CDTF">2025-03-11T08:12:33Z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F100991F5D6B4AFC824433A1E2D69A46_11</vt:lpwstr>
  </property>
  <property fmtid="{D5CDD505-2E9C-101B-9397-08002B2CF9AE}" pid="4" name="KSOTemplateDocerSaveRecord">
    <vt:lpwstr>eyJoZGlkIjoiNmZlNTJjYmIwY2YzZjU0M2VlNWU1ZTM0MzVhMWM5NDYiLCJ1c2VySWQiOiI1ODYwNDU3NjEifQ==</vt:lpwstr>
  </property>
</Properties>
</file>