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1F3FA6">
      <w:pPr>
        <w:spacing w:line="360" w:lineRule="auto"/>
        <w:ind w:left="0" w:leftChars="0" w:firstLine="0" w:firstLineChars="0"/>
        <w:jc w:val="distribute"/>
        <w:rPr>
          <w:rFonts w:hint="default" w:ascii="Times New Roman" w:hAnsi="Times New Roman" w:eastAsia="方正仿宋_GBK" w:cs="Times New Roman"/>
          <w:b/>
          <w:color w:val="auto"/>
          <w:spacing w:val="-70"/>
          <w:sz w:val="32"/>
          <w:szCs w:val="32"/>
        </w:rPr>
      </w:pPr>
    </w:p>
    <w:p w14:paraId="3F654B9C">
      <w:pPr>
        <w:ind w:firstLine="0" w:firstLineChars="0"/>
        <w:jc w:val="center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 w14:paraId="14DCB937">
      <w:pPr>
        <w:ind w:firstLine="0" w:firstLineChars="0"/>
        <w:jc w:val="center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 w14:paraId="2AB64146">
      <w:pPr>
        <w:ind w:firstLine="0" w:firstLineChars="0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 w14:paraId="407A2013">
      <w:pPr>
        <w:ind w:firstLine="0" w:firstLineChars="0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 w14:paraId="647C55C3">
      <w:pPr>
        <w:ind w:firstLine="0" w:firstLineChars="0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 w14:paraId="576CCE56">
      <w:pPr>
        <w:pStyle w:val="5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52"/>
          <w:szCs w:val="52"/>
        </w:rPr>
      </w:pPr>
      <w:r>
        <w:rPr>
          <w:rFonts w:hint="default" w:ascii="Times New Roman" w:hAnsi="Times New Roman" w:cs="Times New Roman"/>
          <w:sz w:val="52"/>
          <w:szCs w:val="52"/>
          <w:lang w:val="en-US" w:eastAsia="zh-CN"/>
        </w:rPr>
        <w:t>8.0</w:t>
      </w:r>
      <w:r>
        <w:rPr>
          <w:rFonts w:hint="default" w:ascii="Times New Roman" w:hAnsi="Times New Roman" w:cs="Times New Roman"/>
          <w:sz w:val="52"/>
          <w:szCs w:val="52"/>
        </w:rPr>
        <w:t>土地交易</w:t>
      </w:r>
    </w:p>
    <w:p w14:paraId="721940AE">
      <w:pPr>
        <w:pStyle w:val="5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52"/>
          <w:szCs w:val="52"/>
        </w:rPr>
      </w:pPr>
      <w:r>
        <w:rPr>
          <w:rFonts w:hint="default" w:ascii="Times New Roman" w:hAnsi="Times New Roman" w:cs="Times New Roman"/>
          <w:sz w:val="52"/>
          <w:szCs w:val="52"/>
        </w:rPr>
        <w:t>交易中心操作手册</w:t>
      </w:r>
    </w:p>
    <w:p w14:paraId="6CF9D784">
      <w:pPr>
        <w:pStyle w:val="73"/>
        <w:ind w:firstLine="360"/>
        <w:rPr>
          <w:rFonts w:hint="default" w:ascii="Times New Roman" w:hAnsi="Times New Roman" w:eastAsia="思源宋体 CN ExtraLight" w:cs="Times New Roman"/>
          <w:color w:val="auto"/>
        </w:rPr>
      </w:pPr>
    </w:p>
    <w:p w14:paraId="1A1247F0">
      <w:pPr>
        <w:pStyle w:val="73"/>
        <w:ind w:firstLine="360"/>
        <w:rPr>
          <w:rFonts w:hint="default" w:ascii="Times New Roman" w:hAnsi="Times New Roman" w:eastAsia="思源宋体 CN ExtraLight" w:cs="Times New Roman"/>
          <w:color w:val="auto"/>
        </w:rPr>
      </w:pPr>
    </w:p>
    <w:p w14:paraId="78F60FA5">
      <w:pPr>
        <w:pStyle w:val="73"/>
        <w:ind w:firstLine="360"/>
        <w:rPr>
          <w:rFonts w:hint="default" w:ascii="Times New Roman" w:hAnsi="Times New Roman" w:eastAsia="思源宋体 CN ExtraLight" w:cs="Times New Roman"/>
          <w:color w:val="auto"/>
        </w:rPr>
      </w:pPr>
    </w:p>
    <w:p w14:paraId="540FFB54">
      <w:pPr>
        <w:pStyle w:val="73"/>
        <w:ind w:firstLine="0" w:firstLineChars="0"/>
        <w:rPr>
          <w:rFonts w:hint="default" w:ascii="Times New Roman" w:hAnsi="Times New Roman" w:eastAsia="思源宋体 CN ExtraLight" w:cs="Times New Roman"/>
          <w:color w:val="auto"/>
        </w:rPr>
        <w:sectPr>
          <w:headerReference r:id="rId6" w:type="first"/>
          <w:footerReference r:id="rId9" w:type="first"/>
          <w:footerReference r:id="rId7" w:type="default"/>
          <w:headerReference r:id="rId5" w:type="even"/>
          <w:footerReference r:id="rId8" w:type="even"/>
          <w:pgSz w:w="11906" w:h="16838"/>
          <w:pgMar w:top="1440" w:right="1797" w:bottom="1440" w:left="1797" w:header="454" w:footer="680" w:gutter="0"/>
          <w:pgNumType w:start="0"/>
          <w:cols w:space="720" w:num="1"/>
          <w:titlePg/>
          <w:docGrid w:type="lines" w:linePitch="312" w:charSpace="0"/>
        </w:sectPr>
      </w:pPr>
    </w:p>
    <w:p w14:paraId="0A4ACC6C">
      <w:pPr>
        <w:pStyle w:val="3"/>
        <w:numPr>
          <w:ilvl w:val="1"/>
          <w:numId w:val="0"/>
        </w:numPr>
        <w:bidi w:val="0"/>
        <w:ind w:left="0" w:leftChars="0" w:firstLine="0" w:firstLineChars="0"/>
        <w:jc w:val="center"/>
        <w:rPr>
          <w:rFonts w:hint="default" w:ascii="Times New Roman" w:hAnsi="Times New Roman" w:eastAsia="方正黑体_GBK" w:cs="Times New Roman"/>
          <w:sz w:val="32"/>
          <w:szCs w:val="32"/>
        </w:rPr>
      </w:pPr>
      <w:bookmarkStart w:id="0" w:name="_Toc22138"/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一、</w:t>
      </w:r>
      <w:r>
        <w:rPr>
          <w:rFonts w:hint="default" w:ascii="Times New Roman" w:hAnsi="Times New Roman" w:eastAsia="方正黑体_GBK" w:cs="Times New Roman"/>
          <w:sz w:val="32"/>
          <w:szCs w:val="32"/>
        </w:rPr>
        <w:t>土地</w:t>
      </w:r>
      <w:bookmarkStart w:id="12" w:name="_GoBack"/>
      <w:bookmarkEnd w:id="12"/>
      <w:r>
        <w:rPr>
          <w:rFonts w:hint="default" w:ascii="Times New Roman" w:hAnsi="Times New Roman" w:eastAsia="方正黑体_GBK" w:cs="Times New Roman"/>
          <w:sz w:val="32"/>
          <w:szCs w:val="32"/>
        </w:rPr>
        <w:t>交易</w:t>
      </w:r>
      <w:bookmarkEnd w:id="0"/>
    </w:p>
    <w:p w14:paraId="7591BAF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1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. </w:t>
      </w: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点击系统登录，选择对应登录入口</w:t>
      </w:r>
    </w:p>
    <w:p w14:paraId="6F30B358">
      <w:pPr>
        <w:ind w:left="0" w:leftChars="0" w:firstLine="0" w:firstLineChars="0"/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ind w:left="0" w:leftChars="0" w:firstLine="0" w:firstLineChars="0"/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7D8B21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drawing>
          <wp:inline distT="0" distB="0" distL="114300" distR="114300">
            <wp:extent cx="5267325" cy="2577465"/>
            <wp:effectExtent l="0" t="0" r="9525" b="1333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E16E">
      <w:pPr>
        <w:ind w:firstLine="0" w:firstLineChars="0"/>
        <w:rPr>
          <w:rFonts w:hint="default" w:ascii="Times New Roman" w:hAnsi="Times New Roman" w:eastAsia="思源宋体 CN ExtraLight" w:cs="Times New Roman"/>
          <w:color w:val="auto"/>
        </w:rPr>
      </w:pPr>
    </w:p>
    <w:p w14:paraId="3B2F3FCD">
      <w:pPr>
        <w:pStyle w:val="56"/>
        <w:numPr>
          <w:ilvl w:val="0"/>
          <w:numId w:val="0"/>
        </w:numPr>
        <w:bidi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1.2 </w:t>
      </w:r>
      <w:r>
        <w:rPr>
          <w:rFonts w:hint="default" w:ascii="Times New Roman" w:hAnsi="Times New Roman" w:cs="Times New Roman"/>
        </w:rPr>
        <w:t>输入用户名和密码后，点击“</w:t>
      </w:r>
      <w:r>
        <w:rPr>
          <w:rFonts w:hint="default" w:ascii="Times New Roman" w:hAnsi="Times New Roman" w:cs="Times New Roman"/>
          <w:lang w:val="en-US" w:eastAsia="zh-CN"/>
        </w:rPr>
        <w:t>立即</w:t>
      </w:r>
      <w:r>
        <w:rPr>
          <w:rFonts w:hint="default" w:ascii="Times New Roman" w:hAnsi="Times New Roman" w:cs="Times New Roman"/>
        </w:rPr>
        <w:t>登录”按钮，进入系统</w:t>
      </w:r>
    </w:p>
    <w:p w14:paraId="50C8B149"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520950"/>
            <wp:effectExtent l="0" t="0" r="10160" b="1270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3103">
      <w:pPr>
        <w:pStyle w:val="58"/>
        <w:bidi w:val="0"/>
        <w:ind w:left="0" w:leftChars="0" w:firstLine="0" w:firstLineChars="0"/>
        <w:rPr>
          <w:rFonts w:hint="default" w:ascii="Times New Roman" w:hAnsi="Times New Roman" w:eastAsia="方正仿宋_GBK" w:cs="Times New Roman"/>
        </w:rPr>
      </w:pPr>
      <w:bookmarkStart w:id="1" w:name="_Toc2632"/>
      <w:bookmarkStart w:id="2" w:name="_Toc10833"/>
      <w:bookmarkStart w:id="3" w:name="_Toc15727"/>
      <w:r>
        <w:rPr>
          <w:rFonts w:hint="default" w:ascii="Times New Roman" w:hAnsi="Times New Roman" w:eastAsia="方正仿宋_GBK" w:cs="Times New Roman"/>
          <w:lang w:val="en-US" w:eastAsia="zh-CN"/>
        </w:rPr>
        <w:t>1.3 消息中心</w:t>
      </w:r>
      <w:bookmarkEnd w:id="1"/>
      <w:bookmarkEnd w:id="2"/>
      <w:bookmarkEnd w:id="3"/>
    </w:p>
    <w:p w14:paraId="2BEDC234">
      <w:pPr>
        <w:pStyle w:val="5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</w:rPr>
        <w:t>基本功能：</w:t>
      </w:r>
      <w:r>
        <w:rPr>
          <w:rFonts w:hint="default" w:ascii="Times New Roman" w:hAnsi="Times New Roman" w:cs="Times New Roman"/>
          <w:lang w:val="en-US" w:eastAsia="zh-CN"/>
        </w:rPr>
        <w:t>待审审核</w:t>
      </w:r>
    </w:p>
    <w:p w14:paraId="4DFF985F">
      <w:pPr>
        <w:pStyle w:val="5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操作步骤：</w:t>
      </w:r>
    </w:p>
    <w:p w14:paraId="0F9FB313">
      <w:pPr>
        <w:pStyle w:val="5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1.3.1 点开首页右上角小铃铛，展示审核待办消息。点开“待办”，打开审核页面上进行审核</w:t>
      </w:r>
    </w:p>
    <w:p w14:paraId="14B5426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思源宋体 CN ExtraLight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520950"/>
            <wp:effectExtent l="0" t="0" r="10160" b="1270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A79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520950"/>
            <wp:effectExtent l="0" t="0" r="10160" b="1270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BC7C4">
      <w:pPr>
        <w:pStyle w:val="5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cs="Times New Roman"/>
        </w:rPr>
      </w:pPr>
      <w:bookmarkStart w:id="4" w:name="_Toc2049"/>
      <w:bookmarkStart w:id="5" w:name="_Toc3034"/>
      <w:bookmarkStart w:id="6" w:name="_Toc20231"/>
      <w:r>
        <w:rPr>
          <w:rFonts w:hint="default" w:ascii="Times New Roman" w:hAnsi="Times New Roman" w:cs="Times New Roman"/>
          <w:lang w:val="en-US" w:eastAsia="zh-CN"/>
        </w:rPr>
        <w:t xml:space="preserve">1.3.2 </w:t>
      </w:r>
      <w:r>
        <w:rPr>
          <w:rFonts w:hint="default" w:ascii="Times New Roman" w:hAnsi="Times New Roman" w:cs="Times New Roman"/>
        </w:rPr>
        <w:t>待办&amp;通知</w:t>
      </w:r>
      <w:bookmarkEnd w:id="4"/>
      <w:bookmarkEnd w:id="5"/>
      <w:bookmarkEnd w:id="6"/>
    </w:p>
    <w:p w14:paraId="75A8030E">
      <w:pPr>
        <w:pStyle w:val="5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</w:rPr>
        <w:t>基本功能：</w:t>
      </w:r>
      <w:r>
        <w:rPr>
          <w:rFonts w:hint="default" w:ascii="Times New Roman" w:hAnsi="Times New Roman" w:cs="Times New Roman"/>
          <w:lang w:val="en-US" w:eastAsia="zh-CN"/>
        </w:rPr>
        <w:t>待审审核</w:t>
      </w:r>
    </w:p>
    <w:p w14:paraId="40CEDA3C">
      <w:pPr>
        <w:pStyle w:val="5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操作步骤：</w:t>
      </w:r>
    </w:p>
    <w:p w14:paraId="015A70D1">
      <w:pPr>
        <w:pStyle w:val="5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① 待办通知，展示待办事宜消息，点开“待办”，打开审核页面上进行审核</w:t>
      </w:r>
    </w:p>
    <w:p w14:paraId="7AB303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cs="Times New Roman"/>
        </w:rPr>
      </w:pPr>
    </w:p>
    <w:p w14:paraId="4F43175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520950"/>
            <wp:effectExtent l="0" t="0" r="10160" b="1270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3E6B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520950"/>
            <wp:effectExtent l="0" t="0" r="10160" b="1270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BBE5C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bookmarkStart w:id="7" w:name="_Toc22398"/>
      <w:r>
        <w:rPr>
          <w:rFonts w:hint="default" w:ascii="Times New Roman" w:hAnsi="Times New Roman" w:eastAsia="方正仿宋_GBK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1.4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项目管理</w:t>
      </w:r>
      <w:bookmarkEnd w:id="7"/>
    </w:p>
    <w:p w14:paraId="4DD50EA6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bookmarkStart w:id="8" w:name="_Toc346701641"/>
      <w:bookmarkStart w:id="9" w:name="_Toc1033"/>
      <w:bookmarkStart w:id="10" w:name="_Toc1934"/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1.4.1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土地项目受理</w:t>
      </w:r>
    </w:p>
    <w:p w14:paraId="66D5DA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无</w:t>
      </w:r>
    </w:p>
    <w:p w14:paraId="4FF2D72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项目报建</w:t>
      </w:r>
    </w:p>
    <w:p w14:paraId="4ABE73A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0FEA224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① 在左侧菜单栏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打开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土地交易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点击“项目管理”—&gt;“土地项目受理”，展示土地项目受理记录。选择上方审核状态可进行筛选或手动搜索展示，点击放大镜按钮可查看该条记录信息</w:t>
      </w:r>
    </w:p>
    <w:p w14:paraId="6D0086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83C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② 点击项目记录右边的操作按钮，可以对待审核的项目进行审核，对于完成审核的项目可以查看详情</w:t>
      </w:r>
    </w:p>
    <w:p w14:paraId="2266AEB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7598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7B72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1.4.2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地块划分</w:t>
      </w:r>
    </w:p>
    <w:p w14:paraId="61677A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土地项目受理审核通过</w:t>
      </w:r>
    </w:p>
    <w:p w14:paraId="59AF8A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新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增地块</w:t>
      </w:r>
    </w:p>
    <w:p w14:paraId="55243A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24A8CBA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①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土地交易”—&gt;“地块划分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新增地块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列表页面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可以根据审核状态进行筛选或手动输入进行搜索，点击放大镜按钮可查看对应记录信息</w:t>
      </w:r>
    </w:p>
    <w:p w14:paraId="16A1D5D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21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点击“新增地块划分”按钮，进入选择项目界面，可手动输入信息进行搜索，或筛选是否已经挑选，已经挑选的项目不能再次选择；选中项目记录，点击“确认选择”按钮或直接点击右侧“+”，即可打开地块划分界面</w:t>
      </w:r>
    </w:p>
    <w:p w14:paraId="3A0998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673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59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A1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③ 填写地块信息，点击“新增地块”按钮，打开新增地块信息填写界面，根据地块实际情况填写对应信息，完成之后点击“修改保存”按钮即可</w:t>
      </w:r>
    </w:p>
    <w:p w14:paraId="53BD59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7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24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7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29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7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49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注：保存添加的地块会展示在“02 地块信息”处，在提交之前可以继续修改，并可添加多个地块</w:t>
      </w:r>
    </w:p>
    <w:p w14:paraId="6B0BF7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④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地块信息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列表页面上，选中要删除的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地块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，点击“删除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选定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”按钮，可删除该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地块信息</w:t>
      </w:r>
    </w:p>
    <w:p w14:paraId="1EAFDA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7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AE1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⑤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地块添加完成之后，点击“提交信息”按钮即可提交审核，点击“保存”即可保存至地块划分界面</w:t>
      </w:r>
    </w:p>
    <w:p w14:paraId="1EA91E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7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C2D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bookmarkEnd w:id="9"/>
    <w:bookmarkEnd w:id="10"/>
    <w:p w14:paraId="6EE48719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1.4.3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出让文件备案</w:t>
      </w:r>
    </w:p>
    <w:p w14:paraId="4C8C39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地块划分审核通过</w:t>
      </w:r>
    </w:p>
    <w:p w14:paraId="2B57315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编制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出让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地块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出让文件</w:t>
      </w:r>
    </w:p>
    <w:p w14:paraId="5EAF687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7DE217C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页面，点击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“项目管理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&gt;“出让文件备案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出让文件备案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可根据审核状态进行筛选或手动输入信息搜索展示，点击放大镜可查看对应记录信息</w:t>
      </w:r>
    </w:p>
    <w:p w14:paraId="0488BF7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7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57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点击“新建出让文件备案”按钮，进入标段选择页面，可搜索筛选，已选的标段不可再次选择</w:t>
      </w:r>
    </w:p>
    <w:p w14:paraId="4DBE1F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7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821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③ 标的选择页面，勾选标的，点击“确认选择”，进入新增出让文件备案页面</w:t>
      </w:r>
    </w:p>
    <w:p w14:paraId="0CA519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7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A6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8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273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确认信息无误后，上传出让文件附件，点击“提交信息”按钮即可。点击“保存”即可保存至出让文件备案界面</w:t>
      </w:r>
    </w:p>
    <w:p w14:paraId="5DE11C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8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6F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7F17F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1.4.4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场地和时间安排</w:t>
      </w:r>
    </w:p>
    <w:p w14:paraId="719AF3F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出让文件备案提交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审核通过</w:t>
      </w:r>
    </w:p>
    <w:p w14:paraId="5F4537C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预约场地及使用时间</w:t>
      </w:r>
    </w:p>
    <w:p w14:paraId="0B9D89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60AC3F2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页面，点击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“项目管理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&gt;“场地和时间安排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”菜单，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场地和时间安排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可根据审核状态或手动输入信息搜索进行筛选展示，点击放大镜可查看对应记录信息</w:t>
      </w:r>
    </w:p>
    <w:p w14:paraId="65C64DC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8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528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点击“新增交易场地预约”按钮，进入标的选择页面，可手动输入信息搜索，已挑选的标段不可再次选择，选中标段后点击“确认选择”按钮</w:t>
      </w:r>
    </w:p>
    <w:p w14:paraId="6B4E73C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5266690" cy="2520950"/>
            <wp:effectExtent l="0" t="0" r="10160" b="12700"/>
            <wp:wrapTopAndBottom/>
            <wp:docPr id="8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A508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 xml:space="preserve">③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在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填写页面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根据项目所需，填写相关信息，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提交备案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”按钮，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提交即可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点击保存即可保存至场地和时间安排预约界面，在此页面“03 场地预约信息”，还可搜索查看场地的使用情况</w:t>
      </w:r>
    </w:p>
    <w:p w14:paraId="38B6F96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8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F5AF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9E362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1.4.5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场地和时间预约变更</w:t>
      </w:r>
    </w:p>
    <w:p w14:paraId="223292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场地和时间安排审核通过</w:t>
      </w:r>
    </w:p>
    <w:p w14:paraId="0E447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修改已完成预约的场地时间安排</w:t>
      </w:r>
    </w:p>
    <w:p w14:paraId="4752B2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3E8991F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页面，点击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“项目管理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&gt;“场地和时间预约变更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”菜单，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场地和时间预约变更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可根据审核状态和手动搜索进行筛选展示，点击放大镜可查看对应记录信息</w:t>
      </w:r>
    </w:p>
    <w:p w14:paraId="346A7F1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CE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点击“新增场地预约变更”按钮，打开标的选择页面，可手动搜索进行筛选，选中标的后点击“确认选择”按钮</w:t>
      </w:r>
    </w:p>
    <w:p w14:paraId="05EDAC8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82A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③ 新增开评标场地变更，在此页面输入需要变更的场地和时间安排等信息，点击“提交信息”即可，点击“保存”即可保存至场地和时间预约变更界面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48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E1E1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1.4.6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交易公告</w:t>
      </w:r>
    </w:p>
    <w:p w14:paraId="13B31A3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场地和时间安排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审核通过</w:t>
      </w:r>
    </w:p>
    <w:p w14:paraId="29B8DB3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编辑地块交易公告信息并发布</w:t>
      </w:r>
    </w:p>
    <w:p w14:paraId="3E44FE6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5B7C84E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页面，点击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“项目管理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&gt;“交易公告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”菜单，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交易公告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可根据审核状态或手动输入信息筛选展示，点击放大镜可查看对应记录信息</w:t>
      </w:r>
    </w:p>
    <w:p w14:paraId="60EC6EF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142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②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新增交易公告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按钮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打开标的选择页面，可根据手动输入信息进行检索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这里可以选择同一项目的多个标段进行公告制作），选中标段信息后点击“确认选择按”钮</w:t>
      </w:r>
    </w:p>
    <w:p w14:paraId="0DF97B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548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7C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③ 在“新增交易公告”界面，输入项标段相关信息及公告内容后，点击“提交信息”按钮，点击保存按钮，即可将此条记录保存至交易公告页面</w:t>
      </w:r>
    </w:p>
    <w:p w14:paraId="12229F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8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256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285A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1.4.7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highlight w:val="none"/>
          <w:lang w:val="en-US" w:eastAsia="zh-CN"/>
        </w:rPr>
        <w:t>出让补充公告</w:t>
      </w:r>
    </w:p>
    <w:p w14:paraId="2B6700D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交易公告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审核通过</w:t>
      </w:r>
    </w:p>
    <w:p w14:paraId="3A7DBC5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编制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土地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项目的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变更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公告信息</w:t>
      </w:r>
    </w:p>
    <w:p w14:paraId="3944EA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05A5C8A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页面，点击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“项目管理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&gt;“出让补充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公告”菜单，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出让补充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公告页面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可以根据审核状态或手动输入信息搜索来筛选展示，点击放大镜可查看对应记录信息</w:t>
      </w:r>
    </w:p>
    <w:p w14:paraId="4BD87E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8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CF6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 xml:space="preserve">②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点击“新增出让补充公告”，打开项目选择界面，可手动输入信息搜索，选中标段信息点击“确认选择”，进入新增变更公告界面</w:t>
      </w:r>
    </w:p>
    <w:p w14:paraId="0B7491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92C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053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③ 新增变更公告界面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根据项目实际情况填写对应信息，上传相关附件，点击“提交信息”即可</w:t>
      </w:r>
    </w:p>
    <w:p w14:paraId="7DF0E5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F6B47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1" w:name="_Toc4786"/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1.4.8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挂牌报价</w:t>
      </w:r>
    </w:p>
    <w:p w14:paraId="01DB15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竞买人资格审查通过且提交挂牌报价</w:t>
      </w:r>
    </w:p>
    <w:p w14:paraId="51492E4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查看地块当前挂牌报价情况</w:t>
      </w:r>
    </w:p>
    <w:p w14:paraId="0F38BAA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6FB3444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点击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普通交易”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－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&gt;“挂牌报价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挂牌报价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页面，可手动输入信息进行检索</w:t>
      </w:r>
    </w:p>
    <w:p w14:paraId="258AE1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469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② 点击放大镜，进入挂牌报价详情界面，可查看当前报价单位的历史报价信息</w:t>
      </w:r>
    </w:p>
    <w:p w14:paraId="7843C4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1F347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1.4.9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确认受让人</w:t>
      </w:r>
    </w:p>
    <w:p w14:paraId="5334C1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项目开标结束</w:t>
      </w:r>
    </w:p>
    <w:p w14:paraId="2D170F9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确定当前地块受让人</w:t>
      </w:r>
    </w:p>
    <w:p w14:paraId="44F03D4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771B00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点击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普通交易”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－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&gt;“确认受让人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确认受让人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页面，可手动输入信息进行检索</w:t>
      </w:r>
    </w:p>
    <w:p w14:paraId="10D40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625090"/>
            <wp:effectExtent l="0" t="0" r="635" b="381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023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点击“新增公告”，进入土地选择列表，可手动输入信息进行检索，选中项目信息后，点击“确认选择”按钮</w:t>
      </w:r>
    </w:p>
    <w:p w14:paraId="49F9F1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625090"/>
            <wp:effectExtent l="0" t="0" r="635" b="381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876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③ 新增中标公告页面，在“02 土地信息明细”栏，点击右侧“+”按钮，进入新增中标单位界面</w:t>
      </w:r>
    </w:p>
    <w:p w14:paraId="57D976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625090"/>
            <wp:effectExtent l="0" t="0" r="635" b="381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19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625090"/>
            <wp:effectExtent l="0" t="0" r="635" b="381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171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根据实际情况填写对应信息，点击“检索”按钮，打开新增中标单位，点击右侧“+”添加中标单位</w:t>
      </w:r>
    </w:p>
    <w:p w14:paraId="4C0E9C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1200785"/>
            <wp:effectExtent l="0" t="0" r="4445" b="1841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6A8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填写完成后，点击提交备案即可。</w:t>
      </w:r>
    </w:p>
    <w:p w14:paraId="2879BB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138680"/>
            <wp:effectExtent l="0" t="0" r="635" b="1397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DD85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1.4.10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成交结果公告</w:t>
      </w:r>
    </w:p>
    <w:p w14:paraId="5CBAE6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确认受让人审核通过</w:t>
      </w:r>
    </w:p>
    <w:p w14:paraId="604527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发布成交结果公告</w:t>
      </w:r>
    </w:p>
    <w:p w14:paraId="57E2CD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0A2BEB7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点击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普通交易”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－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&gt;“成交结果公告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成交结果公告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页面，可根据审核状态或手动输入信息进行检索</w:t>
      </w:r>
    </w:p>
    <w:p w14:paraId="62C15C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0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7E2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② 点击“新增成交结果公告”，进入地块选择页面，可手动搜索筛选，选中地块后点击“确认选择”即可进入新增成交结果界面，根据实际情况输入对应信息，点击提交信息即可</w:t>
      </w:r>
    </w:p>
    <w:p w14:paraId="47E31E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0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42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0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B197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1.4.11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打印成交确认书</w:t>
      </w:r>
    </w:p>
    <w:p w14:paraId="1830D0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成交结果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公告已发布</w:t>
      </w:r>
    </w:p>
    <w:p w14:paraId="124DDF5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Cs/>
          <w:color w:val="auto"/>
          <w:sz w:val="32"/>
          <w:szCs w:val="32"/>
          <w:lang w:val="en-US" w:eastAsia="zh-CN"/>
        </w:rPr>
        <w:t>打印土地成交确认书</w:t>
      </w:r>
    </w:p>
    <w:p w14:paraId="55862A6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21FB750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点击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交易结束”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－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&gt;“打印成交确认书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打印成交确认书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页面，可根据审核状态或手动输入信息进行检索</w:t>
      </w:r>
    </w:p>
    <w:p w14:paraId="6FBD80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0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30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② 新增成交确认书，点击“新增中标通知书”，进入项目选择界面，可进行手动输入信息筛选，选择项目后点击“确认选择”，进入成交确认书制作界面</w:t>
      </w:r>
    </w:p>
    <w:p w14:paraId="298F13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0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A63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③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在“03 打印列表”，点击操作按钮，对中标明细进行填写，完成后点击保存，再点击打印</w:t>
      </w:r>
    </w:p>
    <w:p w14:paraId="302A37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0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523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0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A3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0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14:paraId="3F86F103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t xml:space="preserve">1.5 </w:t>
      </w:r>
      <w:r>
        <w:rPr>
          <w:rFonts w:hint="default" w:ascii="Times New Roman" w:hAnsi="Times New Roman" w:eastAsia="方正仿宋_GBK" w:cs="Times New Roman"/>
          <w:b/>
          <w:bCs w:val="0"/>
          <w:color w:val="auto"/>
          <w:sz w:val="32"/>
          <w:szCs w:val="32"/>
          <w:lang w:val="en-US" w:eastAsia="zh-CN"/>
        </w:rPr>
        <w:t>中介机构备选库</w:t>
      </w:r>
    </w:p>
    <w:p w14:paraId="6AF8638B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1.5.1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中介机构入库</w:t>
      </w:r>
    </w:p>
    <w:p w14:paraId="1233417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无</w:t>
      </w:r>
    </w:p>
    <w:p w14:paraId="1F51A81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Cs/>
          <w:color w:val="auto"/>
          <w:sz w:val="32"/>
          <w:szCs w:val="32"/>
          <w:lang w:val="en-US" w:eastAsia="zh-CN"/>
        </w:rPr>
        <w:t>添加新的中介机构</w:t>
      </w:r>
    </w:p>
    <w:p w14:paraId="791718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7A57089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中介机构备选库”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&gt;“中介机构入库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中介机构入库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可根据审核状态进行筛选或手动输入信息搜索，点击放大镜按钮看查看详细信息</w:t>
      </w:r>
    </w:p>
    <w:p w14:paraId="336D83F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56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新增中介机构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点击“新增中介”按钮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在新增中介页面，输入按实际情况输入单位基本信息，并上传相关附件，点击“提交信息”按钮即可</w:t>
      </w:r>
    </w:p>
    <w:p w14:paraId="458C578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196B6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1.5.2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中介机构删除</w:t>
      </w:r>
    </w:p>
    <w:p w14:paraId="2D198BC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中介机构入库已有记录</w:t>
      </w:r>
    </w:p>
    <w:p w14:paraId="29245AA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Cs/>
          <w:color w:val="auto"/>
          <w:sz w:val="32"/>
          <w:szCs w:val="32"/>
          <w:lang w:val="en-US" w:eastAsia="zh-CN"/>
        </w:rPr>
        <w:t>删除已经入库的中介机构</w:t>
      </w:r>
    </w:p>
    <w:p w14:paraId="010CDC3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6A8353A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中介机构备选库”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&gt;“中介机构删除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中介机构删除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</w:t>
      </w:r>
    </w:p>
    <w:p w14:paraId="179FA33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7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② 点击“新增中介机构删除”按钮，进入挑选中介页面，可手动输入信息进行检索，选中需要删除的中介机构，点击“确认选择”</w:t>
      </w:r>
    </w:p>
    <w:p w14:paraId="414D2CA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E0A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③ 新增中介机构删除，在此页面可上传相关附件，点击“提交”，审核通过之后，此中介机构便完成删除</w:t>
      </w:r>
    </w:p>
    <w:p w14:paraId="263BEF5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21F62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1.5.3 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主持人抽取模块</w:t>
      </w:r>
    </w:p>
    <w:p w14:paraId="0EEF91F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项目受理审核通过</w:t>
      </w:r>
    </w:p>
    <w:p w14:paraId="64263B1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抽取主持人</w:t>
      </w:r>
    </w:p>
    <w:p w14:paraId="25F49BA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374D5F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① 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中介机构备选库”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&gt;“主持人抽取模块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主持人抽取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可根据抽取状态、审核状态进行筛选，或手动输入信息检索来查看抽取信息</w:t>
      </w:r>
    </w:p>
    <w:p w14:paraId="14C543E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CDA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 xml:space="preserve">②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点击“新增抽取项目”按钮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进入项目挑选界面，选中项目信息后点击确认选择，或直接点击项目信息右侧“+”，进入新增抽取项目页面</w:t>
      </w:r>
    </w:p>
    <w:p w14:paraId="5F92B5E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C1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③ 根据实际情况及相关要求填写对应信息后，点击“提交信息”即可</w:t>
      </w:r>
    </w:p>
    <w:p w14:paraId="4264FB2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CE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④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新增抽取项目审核通过之后，在主持人抽取模块界面会有一条记录，点击右侧操作按钮，可查看项目信息或者进行抽取</w:t>
      </w:r>
    </w:p>
    <w:p w14:paraId="6946117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AB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⑤ 点击抽取操作按钮，进入抽取界面，点“开始抽取”按钮，候选名单开始随滚动，再点击“停止”，则完成抽取。点击“确认”，打开抽取详情页面，查看单位信息等内容</w:t>
      </w:r>
    </w:p>
    <w:p w14:paraId="76B8D54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F9D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EAB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CD31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45CDF5A6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1.6 保证金退款</w:t>
      </w:r>
    </w:p>
    <w:p w14:paraId="4A166DB1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t xml:space="preserve">1.6.1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保证金退款</w:t>
      </w:r>
    </w:p>
    <w:p w14:paraId="777C8B4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前置条件：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成交结果公告发布之后</w:t>
      </w:r>
    </w:p>
    <w:p w14:paraId="77A153D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退还保证金</w:t>
      </w:r>
    </w:p>
    <w:p w14:paraId="1BA14F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0687FFF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①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综合管理”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&gt;“保证金管理”-&gt;“土地交易保证金管理”-&gt;“保证金查询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保证金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可根据开标状态进行筛选或手动输入信息搜索，点击放大镜按钮看查看详细信息</w:t>
      </w:r>
    </w:p>
    <w:p w14:paraId="5ACF6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099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②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点击明细下方放大镜，进入查询页面，点击查询页面左上角的“查询”按钮即可查询保证金</w:t>
      </w:r>
    </w:p>
    <w:p w14:paraId="13A430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5E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③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综合管理”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&gt;“保证金管理”-&gt;“土地交易保证金管理”-&gt;“保证金退款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菜单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进入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保证金退款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页面，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可根据审核状态进行筛选或手动输入信息搜索，点击放大镜按钮看查看详细信息</w:t>
      </w:r>
    </w:p>
    <w:p w14:paraId="65205E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BB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④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点击“新增退款申请”，进入退款挑选列表，选中需要退款的项目，点击“确认选择”即可，或直接点击对应项目右侧“+”按钮，进入保证金退款申请界面</w:t>
      </w:r>
    </w:p>
    <w:p w14:paraId="5CB9C8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⑤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在编辑页面选择保证金类型并选择退款方式后即可提交审核，审核通过后保证金退款公告会展示到网站对应栏目</w:t>
      </w:r>
    </w:p>
    <w:p w14:paraId="155A57BF">
      <w:pPr>
        <w:widowControl w:val="0"/>
        <w:numPr>
          <w:ilvl w:val="0"/>
          <w:numId w:val="0"/>
        </w:num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62857">
      <w:pPr>
        <w:widowControl w:val="0"/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1" w:type="first"/>
      <w:footerReference r:id="rId10" w:type="default"/>
      <w:pgSz w:w="11906" w:h="16838"/>
      <w:pgMar w:top="1440" w:right="1797" w:bottom="1440" w:left="1797" w:header="454" w:footer="680" w:gutter="0"/>
      <w:pgNumType w:fmt="numberInDash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BED441">
    <w:pPr>
      <w:pStyle w:val="26"/>
      <w:pBdr>
        <w:top w:val="single" w:color="9BBB59" w:sz="24" w:space="5"/>
      </w:pBdr>
      <w:tabs>
        <w:tab w:val="right" w:pos="8315"/>
        <w:tab w:val="clear" w:pos="8306"/>
      </w:tabs>
      <w:wordWrap w:val="0"/>
      <w:spacing w:line="240" w:lineRule="auto"/>
      <w:ind w:firstLine="360"/>
      <w:rPr>
        <w:rFonts w:hint="default" w:ascii="思源宋体 CN ExtraLight" w:hAnsi="思源宋体 CN ExtraLight" w:eastAsia="思源宋体 CN ExtraLight" w:cs="思源宋体 CN ExtraLight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FC6EF7"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E56137">
    <w:pPr>
      <w:pStyle w:val="2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862FFC">
    <w:pPr>
      <w:pStyle w:val="26"/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EE53C8">
                          <w:pPr>
                            <w:pStyle w:val="2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EE53C8">
                    <w:pPr>
                      <w:pStyle w:val="2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759D8A">
    <w:pPr>
      <w:pStyle w:val="2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3B4040">
                          <w:pPr>
                            <w:pStyle w:val="2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87R3IzAgAAY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87R3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83B4040">
                    <w:pPr>
                      <w:pStyle w:val="2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A8DB32">
    <w:pPr>
      <w:pStyle w:val="2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EC40A5"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00172A27"/>
    <w:rsid w:val="000023F6"/>
    <w:rsid w:val="00012860"/>
    <w:rsid w:val="0002112B"/>
    <w:rsid w:val="000605AC"/>
    <w:rsid w:val="00065A7C"/>
    <w:rsid w:val="00087262"/>
    <w:rsid w:val="000A1499"/>
    <w:rsid w:val="000B4A1E"/>
    <w:rsid w:val="000C3182"/>
    <w:rsid w:val="000F6D46"/>
    <w:rsid w:val="00122C2D"/>
    <w:rsid w:val="001274AD"/>
    <w:rsid w:val="00130AD1"/>
    <w:rsid w:val="00132EFA"/>
    <w:rsid w:val="00157539"/>
    <w:rsid w:val="001752F8"/>
    <w:rsid w:val="00181D2A"/>
    <w:rsid w:val="001966E9"/>
    <w:rsid w:val="001A40E2"/>
    <w:rsid w:val="001A750C"/>
    <w:rsid w:val="001E6B8A"/>
    <w:rsid w:val="001F5ABA"/>
    <w:rsid w:val="002026A9"/>
    <w:rsid w:val="00205591"/>
    <w:rsid w:val="002062F7"/>
    <w:rsid w:val="00207807"/>
    <w:rsid w:val="00213C7C"/>
    <w:rsid w:val="00226450"/>
    <w:rsid w:val="002570C2"/>
    <w:rsid w:val="00261022"/>
    <w:rsid w:val="0026522B"/>
    <w:rsid w:val="00274441"/>
    <w:rsid w:val="002B22CE"/>
    <w:rsid w:val="002B2828"/>
    <w:rsid w:val="002D3498"/>
    <w:rsid w:val="002D6C87"/>
    <w:rsid w:val="002E0190"/>
    <w:rsid w:val="00303EC4"/>
    <w:rsid w:val="00330E76"/>
    <w:rsid w:val="00335E6A"/>
    <w:rsid w:val="00340393"/>
    <w:rsid w:val="0035539D"/>
    <w:rsid w:val="0036405E"/>
    <w:rsid w:val="00364FA6"/>
    <w:rsid w:val="00366E3A"/>
    <w:rsid w:val="00376622"/>
    <w:rsid w:val="00383C3D"/>
    <w:rsid w:val="0038752C"/>
    <w:rsid w:val="003B5114"/>
    <w:rsid w:val="003C444D"/>
    <w:rsid w:val="003D676A"/>
    <w:rsid w:val="003E33CF"/>
    <w:rsid w:val="004165F3"/>
    <w:rsid w:val="00430169"/>
    <w:rsid w:val="0043020F"/>
    <w:rsid w:val="0043739F"/>
    <w:rsid w:val="00447F6B"/>
    <w:rsid w:val="00454D70"/>
    <w:rsid w:val="00490AAA"/>
    <w:rsid w:val="004D055F"/>
    <w:rsid w:val="004E268D"/>
    <w:rsid w:val="004E382E"/>
    <w:rsid w:val="004F307E"/>
    <w:rsid w:val="00521AD4"/>
    <w:rsid w:val="00533A22"/>
    <w:rsid w:val="00546587"/>
    <w:rsid w:val="0056466E"/>
    <w:rsid w:val="005809A2"/>
    <w:rsid w:val="00590C82"/>
    <w:rsid w:val="005A3D7A"/>
    <w:rsid w:val="005A678F"/>
    <w:rsid w:val="005B1271"/>
    <w:rsid w:val="005B58E3"/>
    <w:rsid w:val="005D08DA"/>
    <w:rsid w:val="005E4FC3"/>
    <w:rsid w:val="00621B56"/>
    <w:rsid w:val="006247D8"/>
    <w:rsid w:val="006327A2"/>
    <w:rsid w:val="006335EC"/>
    <w:rsid w:val="00643BE3"/>
    <w:rsid w:val="00651B79"/>
    <w:rsid w:val="00653193"/>
    <w:rsid w:val="0065730F"/>
    <w:rsid w:val="00660D37"/>
    <w:rsid w:val="00661089"/>
    <w:rsid w:val="006672DE"/>
    <w:rsid w:val="0067292A"/>
    <w:rsid w:val="00682122"/>
    <w:rsid w:val="00682699"/>
    <w:rsid w:val="006879A2"/>
    <w:rsid w:val="0069141A"/>
    <w:rsid w:val="006C2BDA"/>
    <w:rsid w:val="006E10E6"/>
    <w:rsid w:val="006F0D75"/>
    <w:rsid w:val="006F67A0"/>
    <w:rsid w:val="00712D5B"/>
    <w:rsid w:val="00715643"/>
    <w:rsid w:val="0073763B"/>
    <w:rsid w:val="00737D42"/>
    <w:rsid w:val="0076632E"/>
    <w:rsid w:val="00794B09"/>
    <w:rsid w:val="007C08DC"/>
    <w:rsid w:val="007D4795"/>
    <w:rsid w:val="007F3026"/>
    <w:rsid w:val="007F4C2B"/>
    <w:rsid w:val="00807681"/>
    <w:rsid w:val="00842D60"/>
    <w:rsid w:val="00845706"/>
    <w:rsid w:val="00865043"/>
    <w:rsid w:val="00874E6F"/>
    <w:rsid w:val="00882D03"/>
    <w:rsid w:val="00884580"/>
    <w:rsid w:val="008A0FDA"/>
    <w:rsid w:val="008A5A57"/>
    <w:rsid w:val="008B398E"/>
    <w:rsid w:val="008B5870"/>
    <w:rsid w:val="008C6D33"/>
    <w:rsid w:val="008C6FD7"/>
    <w:rsid w:val="008D0142"/>
    <w:rsid w:val="008D51EA"/>
    <w:rsid w:val="008E0616"/>
    <w:rsid w:val="008F0F96"/>
    <w:rsid w:val="008F218D"/>
    <w:rsid w:val="00906EAA"/>
    <w:rsid w:val="00952749"/>
    <w:rsid w:val="009532F5"/>
    <w:rsid w:val="00954A2F"/>
    <w:rsid w:val="00955BED"/>
    <w:rsid w:val="00983865"/>
    <w:rsid w:val="00984BF1"/>
    <w:rsid w:val="00987392"/>
    <w:rsid w:val="00992457"/>
    <w:rsid w:val="009A6E50"/>
    <w:rsid w:val="009A7C78"/>
    <w:rsid w:val="009B1A43"/>
    <w:rsid w:val="009D790C"/>
    <w:rsid w:val="009E4A22"/>
    <w:rsid w:val="009F70C5"/>
    <w:rsid w:val="00A15814"/>
    <w:rsid w:val="00A367B9"/>
    <w:rsid w:val="00A46C32"/>
    <w:rsid w:val="00A60855"/>
    <w:rsid w:val="00A90E29"/>
    <w:rsid w:val="00A95D78"/>
    <w:rsid w:val="00AC06A6"/>
    <w:rsid w:val="00AD13DF"/>
    <w:rsid w:val="00AD1C01"/>
    <w:rsid w:val="00AD2F83"/>
    <w:rsid w:val="00AD76A5"/>
    <w:rsid w:val="00B01303"/>
    <w:rsid w:val="00B06ABD"/>
    <w:rsid w:val="00B308A2"/>
    <w:rsid w:val="00B33133"/>
    <w:rsid w:val="00B36819"/>
    <w:rsid w:val="00B3685E"/>
    <w:rsid w:val="00B40F8C"/>
    <w:rsid w:val="00B4655B"/>
    <w:rsid w:val="00B50891"/>
    <w:rsid w:val="00B52EE4"/>
    <w:rsid w:val="00B64CC5"/>
    <w:rsid w:val="00B70F62"/>
    <w:rsid w:val="00B7235D"/>
    <w:rsid w:val="00BA57B7"/>
    <w:rsid w:val="00BB4682"/>
    <w:rsid w:val="00BB5703"/>
    <w:rsid w:val="00BC56F7"/>
    <w:rsid w:val="00BE6DB6"/>
    <w:rsid w:val="00C02FC7"/>
    <w:rsid w:val="00C031C3"/>
    <w:rsid w:val="00C1295F"/>
    <w:rsid w:val="00C1306A"/>
    <w:rsid w:val="00C1587A"/>
    <w:rsid w:val="00C53761"/>
    <w:rsid w:val="00C721E1"/>
    <w:rsid w:val="00CB4981"/>
    <w:rsid w:val="00CB7AD6"/>
    <w:rsid w:val="00CE39D0"/>
    <w:rsid w:val="00CE70D7"/>
    <w:rsid w:val="00CF04D6"/>
    <w:rsid w:val="00D13C0F"/>
    <w:rsid w:val="00D405ED"/>
    <w:rsid w:val="00D81678"/>
    <w:rsid w:val="00D84D9B"/>
    <w:rsid w:val="00D875BF"/>
    <w:rsid w:val="00D94F8B"/>
    <w:rsid w:val="00D9743E"/>
    <w:rsid w:val="00DA6768"/>
    <w:rsid w:val="00DB0D70"/>
    <w:rsid w:val="00DB6AC6"/>
    <w:rsid w:val="00DD2821"/>
    <w:rsid w:val="00DE36CE"/>
    <w:rsid w:val="00E010F1"/>
    <w:rsid w:val="00E317AC"/>
    <w:rsid w:val="00E35A67"/>
    <w:rsid w:val="00E51036"/>
    <w:rsid w:val="00E81D65"/>
    <w:rsid w:val="00E9174F"/>
    <w:rsid w:val="00E9694D"/>
    <w:rsid w:val="00EC39EE"/>
    <w:rsid w:val="00EC5277"/>
    <w:rsid w:val="00F518CA"/>
    <w:rsid w:val="00F54DDD"/>
    <w:rsid w:val="00F5573D"/>
    <w:rsid w:val="00F92442"/>
    <w:rsid w:val="00FA09A3"/>
    <w:rsid w:val="00FB0EC1"/>
    <w:rsid w:val="00FE70C8"/>
    <w:rsid w:val="00FF0E8E"/>
    <w:rsid w:val="00FF48A5"/>
    <w:rsid w:val="01BA44DA"/>
    <w:rsid w:val="0381044F"/>
    <w:rsid w:val="038257C5"/>
    <w:rsid w:val="04154528"/>
    <w:rsid w:val="053E0EA6"/>
    <w:rsid w:val="055A5917"/>
    <w:rsid w:val="09613E56"/>
    <w:rsid w:val="0A100715"/>
    <w:rsid w:val="0B9C6927"/>
    <w:rsid w:val="0B9D7D02"/>
    <w:rsid w:val="0BD47FE1"/>
    <w:rsid w:val="0C9972DD"/>
    <w:rsid w:val="0CCF7B10"/>
    <w:rsid w:val="0DB52372"/>
    <w:rsid w:val="0DCC2A2A"/>
    <w:rsid w:val="0E677F50"/>
    <w:rsid w:val="0F475868"/>
    <w:rsid w:val="0F83329A"/>
    <w:rsid w:val="109A3F5B"/>
    <w:rsid w:val="117174B9"/>
    <w:rsid w:val="127828B9"/>
    <w:rsid w:val="12EA0221"/>
    <w:rsid w:val="131A0025"/>
    <w:rsid w:val="166A3A00"/>
    <w:rsid w:val="16DF1DC5"/>
    <w:rsid w:val="16E57597"/>
    <w:rsid w:val="17103D25"/>
    <w:rsid w:val="17905EF8"/>
    <w:rsid w:val="18D16F1E"/>
    <w:rsid w:val="195568B7"/>
    <w:rsid w:val="19C02EA8"/>
    <w:rsid w:val="1A917FD8"/>
    <w:rsid w:val="1B1B722A"/>
    <w:rsid w:val="1B6468A5"/>
    <w:rsid w:val="1C3C7049"/>
    <w:rsid w:val="1D924EC9"/>
    <w:rsid w:val="1DB6788F"/>
    <w:rsid w:val="1E447ADD"/>
    <w:rsid w:val="1E52388C"/>
    <w:rsid w:val="1E7B0105"/>
    <w:rsid w:val="1F5C24EB"/>
    <w:rsid w:val="1F9B7F68"/>
    <w:rsid w:val="201D6BBA"/>
    <w:rsid w:val="20574D44"/>
    <w:rsid w:val="205B48B7"/>
    <w:rsid w:val="212E1EEB"/>
    <w:rsid w:val="22945A00"/>
    <w:rsid w:val="240D6796"/>
    <w:rsid w:val="25204BCB"/>
    <w:rsid w:val="253D426E"/>
    <w:rsid w:val="25994CEF"/>
    <w:rsid w:val="263156B4"/>
    <w:rsid w:val="26F95C0C"/>
    <w:rsid w:val="273D0B66"/>
    <w:rsid w:val="27A90AF0"/>
    <w:rsid w:val="27B107D2"/>
    <w:rsid w:val="28741147"/>
    <w:rsid w:val="29845A1F"/>
    <w:rsid w:val="2A7D7E6B"/>
    <w:rsid w:val="2A9B7F80"/>
    <w:rsid w:val="2BCE5750"/>
    <w:rsid w:val="2C5C731D"/>
    <w:rsid w:val="2CB573F1"/>
    <w:rsid w:val="2D9F3DEF"/>
    <w:rsid w:val="2E37087C"/>
    <w:rsid w:val="2E5A59EA"/>
    <w:rsid w:val="308415B4"/>
    <w:rsid w:val="31070429"/>
    <w:rsid w:val="318C6B4E"/>
    <w:rsid w:val="319E48F7"/>
    <w:rsid w:val="31A03EF7"/>
    <w:rsid w:val="32B469F6"/>
    <w:rsid w:val="32E662CA"/>
    <w:rsid w:val="333E78D5"/>
    <w:rsid w:val="33762273"/>
    <w:rsid w:val="33A65BD1"/>
    <w:rsid w:val="34643C8A"/>
    <w:rsid w:val="35FC7E3E"/>
    <w:rsid w:val="362E4471"/>
    <w:rsid w:val="3650243A"/>
    <w:rsid w:val="36E91CF5"/>
    <w:rsid w:val="3731721E"/>
    <w:rsid w:val="38987585"/>
    <w:rsid w:val="38DB4964"/>
    <w:rsid w:val="38E84D15"/>
    <w:rsid w:val="39FF1846"/>
    <w:rsid w:val="3A4A54C1"/>
    <w:rsid w:val="3A60521B"/>
    <w:rsid w:val="3AA25A5E"/>
    <w:rsid w:val="3BE360B5"/>
    <w:rsid w:val="3C176DAB"/>
    <w:rsid w:val="3C552159"/>
    <w:rsid w:val="3E1160DF"/>
    <w:rsid w:val="3E3B0EFF"/>
    <w:rsid w:val="3F6E5DBB"/>
    <w:rsid w:val="3F7F5102"/>
    <w:rsid w:val="40600376"/>
    <w:rsid w:val="40E727EF"/>
    <w:rsid w:val="41646966"/>
    <w:rsid w:val="418A27A2"/>
    <w:rsid w:val="441D1E7A"/>
    <w:rsid w:val="44200FBC"/>
    <w:rsid w:val="45355926"/>
    <w:rsid w:val="45924862"/>
    <w:rsid w:val="461F4867"/>
    <w:rsid w:val="465867FA"/>
    <w:rsid w:val="47141273"/>
    <w:rsid w:val="478D4361"/>
    <w:rsid w:val="47C120B3"/>
    <w:rsid w:val="47C42AAB"/>
    <w:rsid w:val="490E72D3"/>
    <w:rsid w:val="49EC7168"/>
    <w:rsid w:val="4AAE79C0"/>
    <w:rsid w:val="4B165C00"/>
    <w:rsid w:val="4D231478"/>
    <w:rsid w:val="4D522797"/>
    <w:rsid w:val="4D6D7A56"/>
    <w:rsid w:val="4E4C3B36"/>
    <w:rsid w:val="4FDA49CC"/>
    <w:rsid w:val="50AD7229"/>
    <w:rsid w:val="50F90D70"/>
    <w:rsid w:val="53540430"/>
    <w:rsid w:val="54727DBB"/>
    <w:rsid w:val="54A40EB7"/>
    <w:rsid w:val="54B70485"/>
    <w:rsid w:val="54C811C0"/>
    <w:rsid w:val="55816FA0"/>
    <w:rsid w:val="55C638FA"/>
    <w:rsid w:val="5604491F"/>
    <w:rsid w:val="562946C0"/>
    <w:rsid w:val="56316068"/>
    <w:rsid w:val="57330947"/>
    <w:rsid w:val="57673180"/>
    <w:rsid w:val="576F2BEC"/>
    <w:rsid w:val="57F11585"/>
    <w:rsid w:val="586E306C"/>
    <w:rsid w:val="58DE67F5"/>
    <w:rsid w:val="59764883"/>
    <w:rsid w:val="5A2C0443"/>
    <w:rsid w:val="5A4F45E9"/>
    <w:rsid w:val="5B387A20"/>
    <w:rsid w:val="5E3A27A1"/>
    <w:rsid w:val="5EE35661"/>
    <w:rsid w:val="5F7808CF"/>
    <w:rsid w:val="5F7E1DE0"/>
    <w:rsid w:val="603A3052"/>
    <w:rsid w:val="60805554"/>
    <w:rsid w:val="616760E8"/>
    <w:rsid w:val="61D420B7"/>
    <w:rsid w:val="62D63B27"/>
    <w:rsid w:val="63326F40"/>
    <w:rsid w:val="63632487"/>
    <w:rsid w:val="63C500D2"/>
    <w:rsid w:val="64470383"/>
    <w:rsid w:val="64800465"/>
    <w:rsid w:val="655D315E"/>
    <w:rsid w:val="65C66C7C"/>
    <w:rsid w:val="65FA6107"/>
    <w:rsid w:val="665B36A8"/>
    <w:rsid w:val="68590ED9"/>
    <w:rsid w:val="686A2395"/>
    <w:rsid w:val="69EA45AD"/>
    <w:rsid w:val="6A191756"/>
    <w:rsid w:val="6A247161"/>
    <w:rsid w:val="6AE407BA"/>
    <w:rsid w:val="6B2245FD"/>
    <w:rsid w:val="6BA01991"/>
    <w:rsid w:val="6C1F0139"/>
    <w:rsid w:val="6C670382"/>
    <w:rsid w:val="6C927220"/>
    <w:rsid w:val="6D98320C"/>
    <w:rsid w:val="6DA11867"/>
    <w:rsid w:val="6DDB4CBB"/>
    <w:rsid w:val="6EB83849"/>
    <w:rsid w:val="6EBA75AC"/>
    <w:rsid w:val="6F45623B"/>
    <w:rsid w:val="6FB27CCE"/>
    <w:rsid w:val="7076459B"/>
    <w:rsid w:val="715C508A"/>
    <w:rsid w:val="737F2F3A"/>
    <w:rsid w:val="74912E7D"/>
    <w:rsid w:val="754A09C4"/>
    <w:rsid w:val="75BD4219"/>
    <w:rsid w:val="767C00AA"/>
    <w:rsid w:val="76A471A2"/>
    <w:rsid w:val="77407922"/>
    <w:rsid w:val="78244DEF"/>
    <w:rsid w:val="795308BD"/>
    <w:rsid w:val="796432FD"/>
    <w:rsid w:val="796E7EFD"/>
    <w:rsid w:val="798E4C40"/>
    <w:rsid w:val="7A3E03BE"/>
    <w:rsid w:val="7B382B7B"/>
    <w:rsid w:val="7B3C59BC"/>
    <w:rsid w:val="7C6C2E92"/>
    <w:rsid w:val="7D085B3D"/>
    <w:rsid w:val="7D383D7C"/>
    <w:rsid w:val="7EAE18D3"/>
    <w:rsid w:val="7FA0102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9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60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6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62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6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101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103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104"/>
    <w:qFormat/>
    <w:uiPriority w:val="0"/>
    <w:pPr>
      <w:outlineLvl w:val="7"/>
    </w:pPr>
  </w:style>
  <w:style w:type="paragraph" w:styleId="10">
    <w:name w:val="heading 9"/>
    <w:basedOn w:val="9"/>
    <w:next w:val="1"/>
    <w:link w:val="106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18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12"/>
    <w:qFormat/>
    <w:uiPriority w:val="0"/>
  </w:style>
  <w:style w:type="paragraph" w:styleId="16">
    <w:name w:val="Body Text 3"/>
    <w:basedOn w:val="1"/>
    <w:link w:val="120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15"/>
    <w:qFormat/>
    <w:uiPriority w:val="0"/>
    <w:pPr>
      <w:spacing w:after="120"/>
    </w:pPr>
  </w:style>
  <w:style w:type="paragraph" w:styleId="18">
    <w:name w:val="Body Text Indent"/>
    <w:basedOn w:val="1"/>
    <w:link w:val="108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109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23"/>
    <w:qFormat/>
    <w:uiPriority w:val="0"/>
    <w:pPr>
      <w:ind w:left="100" w:leftChars="2500"/>
    </w:pPr>
  </w:style>
  <w:style w:type="paragraph" w:styleId="24">
    <w:name w:val="Body Text Indent 2"/>
    <w:basedOn w:val="1"/>
    <w:link w:val="105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111"/>
    <w:qFormat/>
    <w:uiPriority w:val="0"/>
    <w:rPr>
      <w:sz w:val="18"/>
      <w:szCs w:val="18"/>
    </w:rPr>
  </w:style>
  <w:style w:type="paragraph" w:styleId="26">
    <w:name w:val="footer"/>
    <w:basedOn w:val="1"/>
    <w:link w:val="110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100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1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21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102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14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Emphasis"/>
    <w:basedOn w:val="41"/>
    <w:qFormat/>
    <w:uiPriority w:val="20"/>
    <w:rPr>
      <w:i/>
    </w:rPr>
  </w:style>
  <w:style w:type="character" w:styleId="46">
    <w:name w:val="HTML Definition"/>
    <w:basedOn w:val="41"/>
    <w:semiHidden/>
    <w:unhideWhenUsed/>
    <w:qFormat/>
    <w:uiPriority w:val="0"/>
  </w:style>
  <w:style w:type="character" w:styleId="47">
    <w:name w:val="HTML Typewriter"/>
    <w:basedOn w:val="41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48">
    <w:name w:val="HTML Acronym"/>
    <w:basedOn w:val="41"/>
    <w:semiHidden/>
    <w:unhideWhenUsed/>
    <w:qFormat/>
    <w:uiPriority w:val="0"/>
  </w:style>
  <w:style w:type="character" w:styleId="49">
    <w:name w:val="HTML Variable"/>
    <w:basedOn w:val="41"/>
    <w:semiHidden/>
    <w:unhideWhenUsed/>
    <w:qFormat/>
    <w:uiPriority w:val="0"/>
  </w:style>
  <w:style w:type="character" w:styleId="50">
    <w:name w:val="Hyperlink"/>
    <w:qFormat/>
    <w:uiPriority w:val="99"/>
    <w:rPr>
      <w:color w:val="0000FF"/>
      <w:u w:val="single"/>
    </w:rPr>
  </w:style>
  <w:style w:type="character" w:styleId="51">
    <w:name w:val="HTML Code"/>
    <w:basedOn w:val="41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2">
    <w:name w:val="annotation reference"/>
    <w:qFormat/>
    <w:uiPriority w:val="0"/>
    <w:rPr>
      <w:sz w:val="21"/>
      <w:szCs w:val="21"/>
    </w:rPr>
  </w:style>
  <w:style w:type="character" w:styleId="53">
    <w:name w:val="HTML Cite"/>
    <w:basedOn w:val="41"/>
    <w:semiHidden/>
    <w:unhideWhenUsed/>
    <w:qFormat/>
    <w:uiPriority w:val="0"/>
  </w:style>
  <w:style w:type="character" w:styleId="54">
    <w:name w:val="HTML Keyboard"/>
    <w:basedOn w:val="41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5">
    <w:name w:val="HTML Sample"/>
    <w:basedOn w:val="41"/>
    <w:semiHidden/>
    <w:unhideWhenUsed/>
    <w:qFormat/>
    <w:uiPriority w:val="0"/>
    <w:rPr>
      <w:rFonts w:ascii="monospace" w:hAnsi="monospace" w:eastAsia="monospace" w:cs="monospace"/>
    </w:rPr>
  </w:style>
  <w:style w:type="paragraph" w:customStyle="1" w:styleId="56">
    <w:name w:val="公文主体"/>
    <w:basedOn w:val="1"/>
    <w:qFormat/>
    <w:uiPriority w:val="0"/>
    <w:pPr>
      <w:spacing w:line="579" w:lineRule="exact"/>
      <w:ind w:left="0" w:leftChars="0"/>
      <w:jc w:val="left"/>
    </w:pPr>
    <w:rPr>
      <w:rFonts w:hint="eastAsia" w:ascii="黑体" w:hAnsi="黑体" w:eastAsia="方正仿宋_GBK" w:cs="黑体"/>
      <w:sz w:val="32"/>
      <w:szCs w:val="28"/>
    </w:rPr>
  </w:style>
  <w:style w:type="paragraph" w:customStyle="1" w:styleId="57">
    <w:name w:val="公文标题"/>
    <w:basedOn w:val="1"/>
    <w:autoRedefine/>
    <w:qFormat/>
    <w:uiPriority w:val="0"/>
    <w:pPr>
      <w:spacing w:line="600" w:lineRule="exact"/>
      <w:ind w:firstLine="0" w:firstLineChars="0"/>
      <w:jc w:val="center"/>
    </w:pPr>
    <w:rPr>
      <w:rFonts w:hint="eastAsia" w:ascii="仿宋_GB2312" w:hAnsi="仿宋_GB2312" w:eastAsia="方正小标宋简体" w:cs="仿宋_GB2312"/>
      <w:sz w:val="44"/>
      <w:szCs w:val="32"/>
    </w:rPr>
  </w:style>
  <w:style w:type="paragraph" w:customStyle="1" w:styleId="58">
    <w:name w:val="一级标题（公文）"/>
    <w:basedOn w:val="1"/>
    <w:qFormat/>
    <w:uiPriority w:val="0"/>
    <w:pPr>
      <w:spacing w:line="579" w:lineRule="exact"/>
    </w:pPr>
    <w:rPr>
      <w:rFonts w:hint="eastAsia" w:ascii="黑体" w:hAnsi="黑体" w:eastAsia="方正黑体_GBK" w:cs="黑体"/>
      <w:sz w:val="32"/>
      <w:szCs w:val="28"/>
    </w:rPr>
  </w:style>
  <w:style w:type="character" w:customStyle="1" w:styleId="59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60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61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62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63">
    <w:name w:val="标题 5 Char"/>
    <w:link w:val="6"/>
    <w:qFormat/>
    <w:uiPriority w:val="0"/>
    <w:rPr>
      <w:b/>
      <w:bCs/>
      <w:kern w:val="2"/>
      <w:sz w:val="28"/>
      <w:szCs w:val="28"/>
    </w:rPr>
  </w:style>
  <w:style w:type="paragraph" w:customStyle="1" w:styleId="64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65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66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7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8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9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70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71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72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7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74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75">
    <w:name w:val="样式1"/>
    <w:basedOn w:val="1"/>
    <w:link w:val="14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76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7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8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9">
    <w:name w:val="列出段落1"/>
    <w:basedOn w:val="1"/>
    <w:qFormat/>
    <w:uiPriority w:val="34"/>
  </w:style>
  <w:style w:type="paragraph" w:customStyle="1" w:styleId="80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81">
    <w:name w:val="FA正文"/>
    <w:basedOn w:val="1"/>
    <w:link w:val="11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82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83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84">
    <w:name w:val="样式2"/>
    <w:basedOn w:val="1"/>
    <w:link w:val="12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85">
    <w:name w:val="样式3"/>
    <w:basedOn w:val="27"/>
    <w:link w:val="126"/>
    <w:qFormat/>
    <w:uiPriority w:val="0"/>
    <w:pPr>
      <w:ind w:firstLine="360"/>
    </w:pPr>
  </w:style>
  <w:style w:type="paragraph" w:customStyle="1" w:styleId="86">
    <w:name w:val="样式4"/>
    <w:basedOn w:val="85"/>
    <w:link w:val="127"/>
    <w:qFormat/>
    <w:uiPriority w:val="0"/>
  </w:style>
  <w:style w:type="paragraph" w:customStyle="1" w:styleId="87">
    <w:name w:val="样式5"/>
    <w:basedOn w:val="27"/>
    <w:link w:val="128"/>
    <w:qFormat/>
    <w:uiPriority w:val="0"/>
    <w:pPr>
      <w:ind w:firstLine="360"/>
    </w:pPr>
  </w:style>
  <w:style w:type="paragraph" w:customStyle="1" w:styleId="88">
    <w:name w:val="样式6"/>
    <w:basedOn w:val="27"/>
    <w:link w:val="129"/>
    <w:qFormat/>
    <w:uiPriority w:val="0"/>
    <w:pPr>
      <w:ind w:firstLine="360"/>
    </w:pPr>
  </w:style>
  <w:style w:type="paragraph" w:customStyle="1" w:styleId="89">
    <w:name w:val="样式7"/>
    <w:basedOn w:val="4"/>
    <w:link w:val="130"/>
    <w:qFormat/>
    <w:uiPriority w:val="0"/>
  </w:style>
  <w:style w:type="paragraph" w:customStyle="1" w:styleId="90">
    <w:name w:val="样式8"/>
    <w:basedOn w:val="26"/>
    <w:link w:val="131"/>
    <w:qFormat/>
    <w:uiPriority w:val="0"/>
    <w:pPr>
      <w:ind w:firstLine="0" w:firstLineChars="0"/>
      <w:jc w:val="left"/>
    </w:pPr>
  </w:style>
  <w:style w:type="paragraph" w:customStyle="1" w:styleId="91">
    <w:name w:val="样式9"/>
    <w:basedOn w:val="90"/>
    <w:link w:val="132"/>
    <w:qFormat/>
    <w:uiPriority w:val="0"/>
    <w:pPr>
      <w:jc w:val="center"/>
    </w:pPr>
  </w:style>
  <w:style w:type="paragraph" w:customStyle="1" w:styleId="92">
    <w:name w:val="样式10"/>
    <w:basedOn w:val="91"/>
    <w:link w:val="133"/>
    <w:qFormat/>
    <w:uiPriority w:val="0"/>
    <w:pPr>
      <w:pBdr>
        <w:top w:val="single" w:color="76923C" w:sz="24" w:space="1"/>
      </w:pBdr>
    </w:pPr>
  </w:style>
  <w:style w:type="paragraph" w:customStyle="1" w:styleId="93">
    <w:name w:val="样式11"/>
    <w:basedOn w:val="92"/>
    <w:link w:val="134"/>
    <w:qFormat/>
    <w:uiPriority w:val="0"/>
    <w:pPr>
      <w:pBdr>
        <w:top w:val="none" w:color="auto" w:sz="0" w:space="0"/>
      </w:pBdr>
    </w:pPr>
  </w:style>
  <w:style w:type="paragraph" w:customStyle="1" w:styleId="94">
    <w:name w:val="样式12"/>
    <w:basedOn w:val="93"/>
    <w:link w:val="135"/>
    <w:qFormat/>
    <w:uiPriority w:val="0"/>
  </w:style>
  <w:style w:type="paragraph" w:customStyle="1" w:styleId="95">
    <w:name w:val="样式13"/>
    <w:basedOn w:val="89"/>
    <w:link w:val="136"/>
    <w:qFormat/>
    <w:uiPriority w:val="0"/>
  </w:style>
  <w:style w:type="paragraph" w:customStyle="1" w:styleId="96">
    <w:name w:val="2"/>
    <w:basedOn w:val="1"/>
    <w:link w:val="13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7">
    <w:name w:val="1"/>
    <w:basedOn w:val="1"/>
    <w:link w:val="138"/>
    <w:qFormat/>
    <w:uiPriority w:val="0"/>
    <w:pPr>
      <w:ind w:firstLine="0" w:firstLineChars="0"/>
    </w:pPr>
  </w:style>
  <w:style w:type="paragraph" w:customStyle="1" w:styleId="98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9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00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101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102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103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104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105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106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107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8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109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110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111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12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13">
    <w:name w:val="14_black1"/>
    <w:qFormat/>
    <w:uiPriority w:val="0"/>
    <w:rPr>
      <w:color w:val="000000"/>
      <w:sz w:val="23"/>
      <w:szCs w:val="23"/>
    </w:rPr>
  </w:style>
  <w:style w:type="character" w:customStyle="1" w:styleId="114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15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16">
    <w:name w:val="f141"/>
    <w:qFormat/>
    <w:uiPriority w:val="0"/>
    <w:rPr>
      <w:sz w:val="21"/>
      <w:szCs w:val="21"/>
    </w:rPr>
  </w:style>
  <w:style w:type="character" w:customStyle="1" w:styleId="117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18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19">
    <w:name w:val="FA正文 Char"/>
    <w:link w:val="81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20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21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2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3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2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5">
    <w:name w:val="样式2 Char"/>
    <w:link w:val="84"/>
    <w:qFormat/>
    <w:uiPriority w:val="0"/>
    <w:rPr>
      <w:b/>
      <w:kern w:val="2"/>
      <w:sz w:val="30"/>
      <w:szCs w:val="24"/>
    </w:rPr>
  </w:style>
  <w:style w:type="character" w:customStyle="1" w:styleId="126">
    <w:name w:val="样式3 Char"/>
    <w:link w:val="85"/>
    <w:qFormat/>
    <w:uiPriority w:val="0"/>
    <w:rPr>
      <w:kern w:val="2"/>
      <w:sz w:val="18"/>
      <w:szCs w:val="18"/>
    </w:rPr>
  </w:style>
  <w:style w:type="character" w:customStyle="1" w:styleId="127">
    <w:name w:val="样式4 Char1"/>
    <w:link w:val="86"/>
    <w:qFormat/>
    <w:uiPriority w:val="0"/>
    <w:rPr>
      <w:kern w:val="2"/>
      <w:sz w:val="18"/>
      <w:szCs w:val="18"/>
    </w:rPr>
  </w:style>
  <w:style w:type="character" w:customStyle="1" w:styleId="128">
    <w:name w:val="样式5 Char"/>
    <w:link w:val="87"/>
    <w:qFormat/>
    <w:uiPriority w:val="0"/>
    <w:rPr>
      <w:kern w:val="2"/>
      <w:sz w:val="18"/>
      <w:szCs w:val="18"/>
    </w:rPr>
  </w:style>
  <w:style w:type="character" w:customStyle="1" w:styleId="129">
    <w:name w:val="样式6 Char"/>
    <w:link w:val="88"/>
    <w:qFormat/>
    <w:uiPriority w:val="0"/>
    <w:rPr>
      <w:kern w:val="2"/>
      <w:sz w:val="18"/>
      <w:szCs w:val="18"/>
    </w:rPr>
  </w:style>
  <w:style w:type="character" w:customStyle="1" w:styleId="130">
    <w:name w:val="样式7 Char"/>
    <w:link w:val="89"/>
    <w:qFormat/>
    <w:uiPriority w:val="0"/>
    <w:rPr>
      <w:b/>
      <w:bCs/>
      <w:kern w:val="2"/>
      <w:sz w:val="28"/>
      <w:szCs w:val="18"/>
    </w:rPr>
  </w:style>
  <w:style w:type="character" w:customStyle="1" w:styleId="131">
    <w:name w:val="样式8 Char"/>
    <w:link w:val="90"/>
    <w:qFormat/>
    <w:uiPriority w:val="0"/>
    <w:rPr>
      <w:kern w:val="2"/>
      <w:sz w:val="18"/>
      <w:szCs w:val="18"/>
    </w:rPr>
  </w:style>
  <w:style w:type="character" w:customStyle="1" w:styleId="132">
    <w:name w:val="样式9 Char"/>
    <w:link w:val="91"/>
    <w:qFormat/>
    <w:uiPriority w:val="0"/>
    <w:rPr>
      <w:kern w:val="2"/>
      <w:sz w:val="18"/>
      <w:szCs w:val="18"/>
    </w:rPr>
  </w:style>
  <w:style w:type="character" w:customStyle="1" w:styleId="133">
    <w:name w:val="样式10 Char"/>
    <w:link w:val="92"/>
    <w:qFormat/>
    <w:uiPriority w:val="0"/>
    <w:rPr>
      <w:kern w:val="2"/>
      <w:sz w:val="18"/>
      <w:szCs w:val="18"/>
    </w:rPr>
  </w:style>
  <w:style w:type="character" w:customStyle="1" w:styleId="134">
    <w:name w:val="样式11 Char"/>
    <w:link w:val="93"/>
    <w:qFormat/>
    <w:uiPriority w:val="0"/>
    <w:rPr>
      <w:kern w:val="2"/>
      <w:sz w:val="18"/>
      <w:szCs w:val="18"/>
    </w:rPr>
  </w:style>
  <w:style w:type="character" w:customStyle="1" w:styleId="135">
    <w:name w:val="样式12 Char"/>
    <w:link w:val="94"/>
    <w:qFormat/>
    <w:uiPriority w:val="0"/>
    <w:rPr>
      <w:kern w:val="2"/>
      <w:sz w:val="18"/>
      <w:szCs w:val="18"/>
    </w:rPr>
  </w:style>
  <w:style w:type="character" w:customStyle="1" w:styleId="136">
    <w:name w:val="样式13 Char"/>
    <w:link w:val="95"/>
    <w:qFormat/>
    <w:uiPriority w:val="0"/>
    <w:rPr>
      <w:b/>
      <w:bCs/>
      <w:kern w:val="2"/>
      <w:sz w:val="28"/>
      <w:szCs w:val="18"/>
    </w:rPr>
  </w:style>
  <w:style w:type="character" w:customStyle="1" w:styleId="137">
    <w:name w:val="2 Char"/>
    <w:link w:val="96"/>
    <w:qFormat/>
    <w:uiPriority w:val="0"/>
    <w:rPr>
      <w:spacing w:val="4"/>
      <w:kern w:val="2"/>
      <w:sz w:val="21"/>
      <w:szCs w:val="24"/>
    </w:rPr>
  </w:style>
  <w:style w:type="character" w:customStyle="1" w:styleId="138">
    <w:name w:val="1 Char"/>
    <w:link w:val="97"/>
    <w:qFormat/>
    <w:uiPriority w:val="0"/>
    <w:rPr>
      <w:kern w:val="2"/>
      <w:sz w:val="21"/>
      <w:szCs w:val="24"/>
    </w:rPr>
  </w:style>
  <w:style w:type="paragraph" w:customStyle="1" w:styleId="139">
    <w:name w:val="列出段落2"/>
    <w:basedOn w:val="1"/>
    <w:qFormat/>
    <w:uiPriority w:val="34"/>
  </w:style>
  <w:style w:type="character" w:customStyle="1" w:styleId="140">
    <w:name w:val="样式1 Char"/>
    <w:link w:val="75"/>
    <w:qFormat/>
    <w:uiPriority w:val="0"/>
    <w:rPr>
      <w:kern w:val="2"/>
      <w:sz w:val="24"/>
      <w:szCs w:val="24"/>
    </w:rPr>
  </w:style>
  <w:style w:type="paragraph" w:customStyle="1" w:styleId="141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42">
    <w:name w:val="List Paragraph"/>
    <w:basedOn w:val="1"/>
    <w:qFormat/>
    <w:uiPriority w:val="34"/>
  </w:style>
  <w:style w:type="paragraph" w:styleId="143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44">
    <w:name w:val="hover"/>
    <w:basedOn w:val="41"/>
    <w:qFormat/>
    <w:uiPriority w:val="0"/>
    <w:rPr>
      <w:shd w:val="clear" w:fill="EBF1FB"/>
    </w:rPr>
  </w:style>
  <w:style w:type="character" w:customStyle="1" w:styleId="145">
    <w:name w:val="hover1"/>
    <w:basedOn w:val="41"/>
    <w:qFormat/>
    <w:uiPriority w:val="0"/>
    <w:rPr>
      <w:color w:val="3472D7"/>
      <w:shd w:val="clear" w:fill="EBF1FB"/>
    </w:rPr>
  </w:style>
  <w:style w:type="character" w:customStyle="1" w:styleId="146">
    <w:name w:val="hover2"/>
    <w:basedOn w:val="41"/>
    <w:qFormat/>
    <w:uiPriority w:val="0"/>
    <w:rPr>
      <w:color w:val="3472D7"/>
    </w:rPr>
  </w:style>
  <w:style w:type="character" w:customStyle="1" w:styleId="147">
    <w:name w:val="hover3"/>
    <w:basedOn w:val="41"/>
    <w:qFormat/>
    <w:uiPriority w:val="0"/>
    <w:rPr>
      <w:color w:val="3472D7"/>
    </w:rPr>
  </w:style>
  <w:style w:type="character" w:customStyle="1" w:styleId="148">
    <w:name w:val="laydate-disabled"/>
    <w:basedOn w:val="41"/>
    <w:qFormat/>
    <w:uiPriority w:val="0"/>
    <w:rPr>
      <w:color w:val="3472D7"/>
    </w:rPr>
  </w:style>
  <w:style w:type="character" w:customStyle="1" w:styleId="149">
    <w:name w:val="layui-layer-tabnow"/>
    <w:basedOn w:val="41"/>
    <w:qFormat/>
    <w:uiPriority w:val="0"/>
    <w:rPr>
      <w:bdr w:val="single" w:color="CCCCCC" w:sz="6" w:space="0"/>
      <w:shd w:val="clear" w:fill="FFFFFF"/>
    </w:rPr>
  </w:style>
  <w:style w:type="character" w:customStyle="1" w:styleId="150">
    <w:name w:val="first-child"/>
    <w:basedOn w:val="4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3" Type="http://schemas.openxmlformats.org/officeDocument/2006/relationships/fontTable" Target="fontTable.xml"/><Relationship Id="rId92" Type="http://schemas.openxmlformats.org/officeDocument/2006/relationships/customXml" Target="../customXml/item2.xml"/><Relationship Id="rId91" Type="http://schemas.openxmlformats.org/officeDocument/2006/relationships/numbering" Target="numbering.xml"/><Relationship Id="rId90" Type="http://schemas.openxmlformats.org/officeDocument/2006/relationships/customXml" Target="../customXml/item1.xml"/><Relationship Id="rId9" Type="http://schemas.openxmlformats.org/officeDocument/2006/relationships/footer" Target="footer3.xml"/><Relationship Id="rId89" Type="http://schemas.openxmlformats.org/officeDocument/2006/relationships/image" Target="media/image77.png"/><Relationship Id="rId88" Type="http://schemas.openxmlformats.org/officeDocument/2006/relationships/image" Target="media/image76.png"/><Relationship Id="rId87" Type="http://schemas.openxmlformats.org/officeDocument/2006/relationships/image" Target="media/image75.png"/><Relationship Id="rId86" Type="http://schemas.openxmlformats.org/officeDocument/2006/relationships/image" Target="media/image74.png"/><Relationship Id="rId85" Type="http://schemas.openxmlformats.org/officeDocument/2006/relationships/image" Target="media/image73.png"/><Relationship Id="rId84" Type="http://schemas.openxmlformats.org/officeDocument/2006/relationships/image" Target="media/image72.png"/><Relationship Id="rId83" Type="http://schemas.openxmlformats.org/officeDocument/2006/relationships/image" Target="media/image71.png"/><Relationship Id="rId82" Type="http://schemas.openxmlformats.org/officeDocument/2006/relationships/image" Target="media/image70.png"/><Relationship Id="rId81" Type="http://schemas.openxmlformats.org/officeDocument/2006/relationships/image" Target="media/image69.png"/><Relationship Id="rId80" Type="http://schemas.openxmlformats.org/officeDocument/2006/relationships/image" Target="media/image68.png"/><Relationship Id="rId8" Type="http://schemas.openxmlformats.org/officeDocument/2006/relationships/footer" Target="footer2.xml"/><Relationship Id="rId79" Type="http://schemas.openxmlformats.org/officeDocument/2006/relationships/image" Target="media/image67.png"/><Relationship Id="rId78" Type="http://schemas.openxmlformats.org/officeDocument/2006/relationships/image" Target="media/image66.png"/><Relationship Id="rId77" Type="http://schemas.openxmlformats.org/officeDocument/2006/relationships/image" Target="media/image65.png"/><Relationship Id="rId76" Type="http://schemas.openxmlformats.org/officeDocument/2006/relationships/image" Target="media/image64.png"/><Relationship Id="rId75" Type="http://schemas.openxmlformats.org/officeDocument/2006/relationships/image" Target="media/image63.png"/><Relationship Id="rId74" Type="http://schemas.openxmlformats.org/officeDocument/2006/relationships/image" Target="media/image62.png"/><Relationship Id="rId73" Type="http://schemas.openxmlformats.org/officeDocument/2006/relationships/image" Target="media/image61.png"/><Relationship Id="rId72" Type="http://schemas.openxmlformats.org/officeDocument/2006/relationships/image" Target="media/image60.png"/><Relationship Id="rId71" Type="http://schemas.openxmlformats.org/officeDocument/2006/relationships/image" Target="media/image59.png"/><Relationship Id="rId70" Type="http://schemas.openxmlformats.org/officeDocument/2006/relationships/image" Target="media/image58.png"/><Relationship Id="rId7" Type="http://schemas.openxmlformats.org/officeDocument/2006/relationships/footer" Target="footer1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header" Target="header2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4E7AC3-D7D0-44B6-AF7D-E39A61561B1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</Company>
  <Pages>39</Pages>
  <Words>3698</Words>
  <Characters>3842</Characters>
  <Lines>49</Lines>
  <Paragraphs>13</Paragraphs>
  <TotalTime>0</TotalTime>
  <ScaleCrop>false</ScaleCrop>
  <LinksUpToDate>false</LinksUpToDate>
  <CharactersWithSpaces>3917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小橙子</cp:lastModifiedBy>
  <dcterms:modified xsi:type="dcterms:W3CDTF">2024-09-19T06:46:27Z</dcterms:modified>
  <dc:title>_x0001_</dc:title>
  <cp:revision>118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4C5F396859E141F4A62FC636B09FB922</vt:lpwstr>
  </property>
</Properties>
</file>